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A801" w14:textId="77777777" w:rsidR="00117995" w:rsidRPr="00E51DDB" w:rsidRDefault="00117995" w:rsidP="00117995">
      <w:pPr>
        <w:pStyle w:val="CourtName"/>
        <w:spacing w:before="0"/>
        <w:rPr>
          <w:rStyle w:val="CourtNameChar"/>
          <w:caps/>
          <w:sz w:val="24"/>
          <w:szCs w:val="24"/>
        </w:rPr>
      </w:pPr>
    </w:p>
    <w:p w14:paraId="465319BC" w14:textId="77777777" w:rsidR="00117995" w:rsidRPr="00E51DDB" w:rsidRDefault="00117995" w:rsidP="00117995">
      <w:pPr>
        <w:pStyle w:val="CourtName"/>
        <w:tabs>
          <w:tab w:val="left" w:pos="8295"/>
        </w:tabs>
        <w:jc w:val="left"/>
        <w:rPr>
          <w:rStyle w:val="CourtNameChar"/>
          <w:caps/>
          <w:sz w:val="24"/>
          <w:szCs w:val="24"/>
        </w:rPr>
      </w:pPr>
      <w:r w:rsidRPr="00E51DDB">
        <w:rPr>
          <w:rStyle w:val="CourtNameChar"/>
          <w:caps/>
          <w:sz w:val="24"/>
          <w:szCs w:val="24"/>
        </w:rPr>
        <w:tab/>
      </w:r>
    </w:p>
    <w:p w14:paraId="7D0F264C" w14:textId="77777777" w:rsidR="00117995" w:rsidRPr="00E51DDB" w:rsidRDefault="00117995" w:rsidP="00117995">
      <w:pPr>
        <w:pStyle w:val="CourtName"/>
        <w:rPr>
          <w:rStyle w:val="CourtNameChar"/>
          <w:caps/>
          <w:sz w:val="24"/>
          <w:szCs w:val="24"/>
        </w:rPr>
      </w:pPr>
    </w:p>
    <w:p w14:paraId="493D2C1E" w14:textId="77777777" w:rsidR="00117995" w:rsidRPr="00E51DDB" w:rsidRDefault="00117995" w:rsidP="00117995">
      <w:pPr>
        <w:pStyle w:val="CourtName"/>
        <w:rPr>
          <w:rStyle w:val="CourtNameChar"/>
          <w:caps/>
          <w:sz w:val="24"/>
          <w:szCs w:val="24"/>
        </w:rPr>
      </w:pPr>
    </w:p>
    <w:p w14:paraId="4AD25423" w14:textId="77777777" w:rsidR="00117995" w:rsidRPr="00E51DDB" w:rsidRDefault="00117995" w:rsidP="00117995">
      <w:pPr>
        <w:pStyle w:val="CourtName"/>
        <w:rPr>
          <w:rStyle w:val="CourtNameChar"/>
          <w:caps/>
          <w:sz w:val="24"/>
          <w:szCs w:val="24"/>
        </w:rPr>
      </w:pPr>
    </w:p>
    <w:p w14:paraId="01F2A95F" w14:textId="77777777" w:rsidR="00117995" w:rsidRPr="00E51DDB" w:rsidRDefault="00117995" w:rsidP="00117995">
      <w:pPr>
        <w:pStyle w:val="CourtName"/>
        <w:rPr>
          <w:rStyle w:val="CourtNameChar"/>
          <w:caps/>
          <w:sz w:val="24"/>
          <w:szCs w:val="24"/>
        </w:rPr>
      </w:pPr>
    </w:p>
    <w:p w14:paraId="55584F24" w14:textId="77777777" w:rsidR="00117995" w:rsidRPr="00E51DDB" w:rsidRDefault="00117995" w:rsidP="00117995">
      <w:pPr>
        <w:pStyle w:val="CourtName"/>
        <w:rPr>
          <w:rStyle w:val="CourtNameChar"/>
          <w:caps/>
          <w:sz w:val="24"/>
          <w:szCs w:val="24"/>
        </w:rPr>
      </w:pPr>
    </w:p>
    <w:p w14:paraId="37E109AC" w14:textId="77777777" w:rsidR="00117995" w:rsidRPr="00E51DDB" w:rsidRDefault="00117995" w:rsidP="00117995">
      <w:pPr>
        <w:pStyle w:val="CourtName"/>
        <w:rPr>
          <w:rStyle w:val="CourtNameChar"/>
          <w:bCs/>
          <w:caps/>
          <w:sz w:val="24"/>
          <w:szCs w:val="24"/>
        </w:rPr>
      </w:pPr>
      <w:r w:rsidRPr="00E51DDB">
        <w:rPr>
          <w:rStyle w:val="CourtNameChar"/>
          <w:bCs/>
          <w:caps/>
          <w:sz w:val="24"/>
          <w:szCs w:val="24"/>
        </w:rPr>
        <w:t>UNITED STATES DISTRICT COURT</w:t>
      </w:r>
    </w:p>
    <w:p w14:paraId="4F3CE40D" w14:textId="77777777" w:rsidR="00117995" w:rsidRPr="00E51DDB" w:rsidRDefault="00117995" w:rsidP="00117995">
      <w:pPr>
        <w:pStyle w:val="CourtName"/>
        <w:rPr>
          <w:rStyle w:val="CourtNameChar"/>
          <w:bCs/>
          <w:caps/>
          <w:sz w:val="24"/>
          <w:szCs w:val="24"/>
        </w:rPr>
      </w:pPr>
      <w:r w:rsidRPr="00E51DDB">
        <w:rPr>
          <w:rStyle w:val="CourtNameChar"/>
          <w:bCs/>
          <w:caps/>
          <w:sz w:val="24"/>
          <w:szCs w:val="24"/>
        </w:rPr>
        <w:t>CENTRAL DISTRICT OF CALIFORNIA</w:t>
      </w:r>
    </w:p>
    <w:p w14:paraId="6E059505" w14:textId="77777777" w:rsidR="00117995" w:rsidRPr="00E51DDB" w:rsidRDefault="00117995" w:rsidP="00117995">
      <w:pPr>
        <w:pStyle w:val="CourtName"/>
        <w:rPr>
          <w:rStyle w:val="CourtNameChar"/>
          <w:b/>
          <w:caps/>
          <w:sz w:val="24"/>
          <w:szCs w:val="24"/>
        </w:rPr>
      </w:pPr>
    </w:p>
    <w:tbl>
      <w:tblPr>
        <w:tblW w:w="4954"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1"/>
        <w:gridCol w:w="4950"/>
      </w:tblGrid>
      <w:tr w:rsidR="00117995" w:rsidRPr="00E51DDB" w14:paraId="390F91BF" w14:textId="77777777" w:rsidTr="00A10798">
        <w:trPr>
          <w:trHeight w:val="3303"/>
        </w:trPr>
        <w:tc>
          <w:tcPr>
            <w:tcW w:w="2430" w:type="pct"/>
            <w:tcBorders>
              <w:right w:val="single" w:sz="4" w:space="0" w:color="auto"/>
            </w:tcBorders>
          </w:tcPr>
          <w:p w14:paraId="26178056" w14:textId="77777777" w:rsidR="00117995" w:rsidRPr="00117995" w:rsidRDefault="00117995" w:rsidP="00117995">
            <w:pPr>
              <w:pStyle w:val="PartyName"/>
              <w:spacing w:before="120" w:line="240" w:lineRule="auto"/>
              <w:rPr>
                <w:sz w:val="24"/>
                <w:szCs w:val="24"/>
              </w:rPr>
            </w:pPr>
            <w:r w:rsidRPr="00117995">
              <w:rPr>
                <w:b/>
                <w:bCs/>
                <w:sz w:val="24"/>
                <w:szCs w:val="24"/>
              </w:rPr>
              <w:t>[PLAINTIFF’S NAME]</w:t>
            </w:r>
            <w:r w:rsidRPr="00117995">
              <w:rPr>
                <w:sz w:val="24"/>
                <w:szCs w:val="24"/>
              </w:rPr>
              <w:t>,</w:t>
            </w:r>
          </w:p>
          <w:p w14:paraId="6EA334B0" w14:textId="77777777" w:rsidR="00117995" w:rsidRPr="00117995" w:rsidRDefault="00117995" w:rsidP="00117995">
            <w:pPr>
              <w:ind w:left="2880"/>
              <w:rPr>
                <w:sz w:val="24"/>
                <w:szCs w:val="24"/>
              </w:rPr>
            </w:pPr>
            <w:r w:rsidRPr="00117995">
              <w:rPr>
                <w:sz w:val="24"/>
                <w:szCs w:val="24"/>
              </w:rPr>
              <w:t>Plaintiff,</w:t>
            </w:r>
          </w:p>
          <w:p w14:paraId="06292ECA" w14:textId="77777777" w:rsidR="00117995" w:rsidRPr="00117995" w:rsidRDefault="00117995" w:rsidP="00117995">
            <w:pPr>
              <w:rPr>
                <w:sz w:val="24"/>
                <w:szCs w:val="24"/>
              </w:rPr>
            </w:pPr>
            <w:r w:rsidRPr="00117995">
              <w:rPr>
                <w:sz w:val="24"/>
                <w:szCs w:val="24"/>
              </w:rPr>
              <w:tab/>
            </w:r>
            <w:r w:rsidRPr="00117995">
              <w:rPr>
                <w:sz w:val="24"/>
                <w:szCs w:val="24"/>
              </w:rPr>
              <w:tab/>
              <w:t>v.</w:t>
            </w:r>
          </w:p>
          <w:p w14:paraId="74F4AFC1" w14:textId="77777777" w:rsidR="00117995" w:rsidRPr="00117995" w:rsidRDefault="00117995" w:rsidP="00117995">
            <w:pPr>
              <w:rPr>
                <w:sz w:val="24"/>
                <w:szCs w:val="24"/>
              </w:rPr>
            </w:pPr>
          </w:p>
          <w:p w14:paraId="6A077E0A" w14:textId="77777777" w:rsidR="00117995" w:rsidRPr="00117995" w:rsidRDefault="00117995" w:rsidP="00117995">
            <w:pPr>
              <w:pStyle w:val="PartyName"/>
              <w:spacing w:before="120" w:line="240" w:lineRule="auto"/>
              <w:rPr>
                <w:sz w:val="24"/>
                <w:szCs w:val="24"/>
              </w:rPr>
            </w:pPr>
            <w:r w:rsidRPr="00117995">
              <w:rPr>
                <w:b/>
                <w:bCs/>
                <w:sz w:val="24"/>
                <w:szCs w:val="24"/>
              </w:rPr>
              <w:t>[DEFENDANT’S NAME]</w:t>
            </w:r>
            <w:r w:rsidRPr="00117995">
              <w:rPr>
                <w:sz w:val="24"/>
                <w:szCs w:val="24"/>
              </w:rPr>
              <w:t>,</w:t>
            </w:r>
          </w:p>
          <w:p w14:paraId="1D2BFE65" w14:textId="3C7B3A72" w:rsidR="00117995" w:rsidRPr="00E51DDB" w:rsidRDefault="00117995" w:rsidP="00117995">
            <w:pPr>
              <w:ind w:left="2880"/>
              <w:rPr>
                <w:sz w:val="24"/>
                <w:szCs w:val="24"/>
              </w:rPr>
            </w:pPr>
            <w:r w:rsidRPr="00117995">
              <w:rPr>
                <w:sz w:val="24"/>
                <w:szCs w:val="24"/>
              </w:rPr>
              <w:t>Defendant.</w:t>
            </w:r>
          </w:p>
        </w:tc>
        <w:tc>
          <w:tcPr>
            <w:tcW w:w="2570" w:type="pct"/>
            <w:tcBorders>
              <w:left w:val="nil"/>
            </w:tcBorders>
            <w:tcMar>
              <w:left w:w="115" w:type="dxa"/>
            </w:tcMar>
          </w:tcPr>
          <w:p w14:paraId="18E7558E" w14:textId="77777777" w:rsidR="00117995" w:rsidRPr="00117995" w:rsidRDefault="00117995" w:rsidP="00117995">
            <w:pPr>
              <w:pStyle w:val="SingleSpacing"/>
              <w:rPr>
                <w:sz w:val="24"/>
                <w:szCs w:val="24"/>
              </w:rPr>
            </w:pPr>
            <w:r>
              <w:rPr>
                <w:sz w:val="24"/>
                <w:szCs w:val="24"/>
              </w:rPr>
              <w:t xml:space="preserve"> </w:t>
            </w:r>
            <w:r w:rsidRPr="00117995">
              <w:rPr>
                <w:sz w:val="24"/>
                <w:szCs w:val="24"/>
              </w:rPr>
              <w:t>Case No.:  2:22-cv-01234-MEMF(x)</w:t>
            </w:r>
          </w:p>
          <w:p w14:paraId="7DC9F2A6" w14:textId="77777777" w:rsidR="00117995" w:rsidRPr="00117995" w:rsidRDefault="00117995" w:rsidP="00117995">
            <w:pPr>
              <w:pStyle w:val="Pleadingtitle"/>
              <w:ind w:left="121"/>
              <w:rPr>
                <w:sz w:val="24"/>
                <w:szCs w:val="24"/>
              </w:rPr>
            </w:pPr>
          </w:p>
          <w:p w14:paraId="476ECC7E" w14:textId="77777777" w:rsidR="00117995" w:rsidRPr="00E51DDB" w:rsidRDefault="00117995" w:rsidP="00117995">
            <w:pPr>
              <w:pStyle w:val="NoSpacing"/>
              <w:rPr>
                <w:b/>
                <w:bCs/>
                <w:sz w:val="24"/>
                <w:szCs w:val="24"/>
              </w:rPr>
            </w:pPr>
            <w:r w:rsidRPr="00117995">
              <w:rPr>
                <w:b/>
                <w:bCs/>
                <w:sz w:val="24"/>
                <w:szCs w:val="24"/>
              </w:rPr>
              <w:t>CIVIL STANDING ORDER</w:t>
            </w:r>
          </w:p>
          <w:p w14:paraId="4D5D8DEF" w14:textId="00A7DB83" w:rsidR="00117995" w:rsidRPr="00E51DDB" w:rsidRDefault="00117995" w:rsidP="00A10798">
            <w:pPr>
              <w:ind w:left="121"/>
              <w:rPr>
                <w:sz w:val="24"/>
                <w:szCs w:val="24"/>
              </w:rPr>
            </w:pPr>
          </w:p>
          <w:p w14:paraId="191AED55" w14:textId="77777777" w:rsidR="00117995" w:rsidRPr="00E51DDB" w:rsidRDefault="00117995" w:rsidP="00A10798">
            <w:pPr>
              <w:ind w:left="121"/>
              <w:rPr>
                <w:sz w:val="24"/>
                <w:szCs w:val="24"/>
              </w:rPr>
            </w:pPr>
          </w:p>
        </w:tc>
      </w:tr>
      <w:tr w:rsidR="00117995" w:rsidRPr="00E51DDB" w14:paraId="022E1917" w14:textId="77777777" w:rsidTr="00A10798">
        <w:tc>
          <w:tcPr>
            <w:tcW w:w="2430" w:type="pct"/>
            <w:tcBorders>
              <w:bottom w:val="single" w:sz="4" w:space="0" w:color="auto"/>
              <w:right w:val="single" w:sz="4" w:space="0" w:color="auto"/>
            </w:tcBorders>
          </w:tcPr>
          <w:p w14:paraId="25572B3F" w14:textId="77777777" w:rsidR="00117995" w:rsidRPr="00E51DDB" w:rsidRDefault="00117995" w:rsidP="00A10798">
            <w:pPr>
              <w:pStyle w:val="Parties"/>
              <w:spacing w:after="0"/>
              <w:rPr>
                <w:rStyle w:val="PartiesChar"/>
                <w:caps/>
                <w:sz w:val="24"/>
                <w:szCs w:val="24"/>
              </w:rPr>
            </w:pPr>
          </w:p>
        </w:tc>
        <w:tc>
          <w:tcPr>
            <w:tcW w:w="2570" w:type="pct"/>
            <w:tcBorders>
              <w:left w:val="nil"/>
            </w:tcBorders>
            <w:tcMar>
              <w:left w:w="115" w:type="dxa"/>
            </w:tcMar>
          </w:tcPr>
          <w:p w14:paraId="1C22E814" w14:textId="77777777" w:rsidR="00117995" w:rsidRPr="00E51DDB" w:rsidRDefault="00117995" w:rsidP="00A10798">
            <w:pPr>
              <w:pStyle w:val="CaseNo"/>
              <w:spacing w:after="0" w:line="240" w:lineRule="exact"/>
              <w:rPr>
                <w:sz w:val="24"/>
                <w:szCs w:val="24"/>
              </w:rPr>
            </w:pPr>
            <w:r w:rsidRPr="00E51DDB">
              <w:rPr>
                <w:sz w:val="24"/>
                <w:szCs w:val="24"/>
              </w:rPr>
              <w:t xml:space="preserve"> </w:t>
            </w:r>
          </w:p>
        </w:tc>
      </w:tr>
    </w:tbl>
    <w:p w14:paraId="3D854852" w14:textId="77777777" w:rsidR="00117995" w:rsidRDefault="00117995" w:rsidP="00117995">
      <w:pPr>
        <w:spacing w:before="200"/>
        <w:rPr>
          <w:sz w:val="24"/>
          <w:szCs w:val="24"/>
        </w:rPr>
      </w:pPr>
    </w:p>
    <w:p w14:paraId="0B80E51E" w14:textId="77777777" w:rsidR="0011241D" w:rsidRPr="00E51DDB" w:rsidRDefault="0011241D" w:rsidP="00117995">
      <w:pPr>
        <w:spacing w:before="200"/>
        <w:rPr>
          <w:sz w:val="24"/>
          <w:szCs w:val="24"/>
        </w:rPr>
      </w:pPr>
    </w:p>
    <w:p w14:paraId="2FD63CBA" w14:textId="6734E3A8" w:rsidR="006519D1" w:rsidRPr="00117995" w:rsidRDefault="006519D1" w:rsidP="00117995">
      <w:pPr>
        <w:pStyle w:val="CourtName"/>
        <w:spacing w:before="0"/>
        <w:rPr>
          <w:sz w:val="24"/>
          <w:szCs w:val="24"/>
        </w:rPr>
      </w:pPr>
      <w:r w:rsidRPr="00D1201F">
        <w:rPr>
          <w:b/>
          <w:sz w:val="24"/>
          <w:szCs w:val="24"/>
        </w:rPr>
        <w:t>PLEASE READ THIS ORDER CAREFULLY. IT GOVERNS THE CASE AND DIFFERS IN SOME RESPECTS FROM THE LOCAL RULES.</w:t>
      </w:r>
      <w:r w:rsidR="003C1563">
        <w:rPr>
          <w:b/>
          <w:sz w:val="24"/>
          <w:szCs w:val="24"/>
        </w:rPr>
        <w:t xml:space="preserve"> WHEN CONSULTING THE COURT’S CIVIL STANDING ORDER, PLEASE BE SURE TO </w:t>
      </w:r>
      <w:r w:rsidR="00EC229B">
        <w:rPr>
          <w:b/>
          <w:sz w:val="24"/>
          <w:szCs w:val="24"/>
        </w:rPr>
        <w:t xml:space="preserve">USE THE MOST UPDATED VERSION LOCATED ON </w:t>
      </w:r>
      <w:r w:rsidR="0011241D">
        <w:rPr>
          <w:b/>
          <w:sz w:val="24"/>
          <w:szCs w:val="24"/>
        </w:rPr>
        <w:t>judge frimpong’s</w:t>
      </w:r>
      <w:r w:rsidR="00EC229B">
        <w:rPr>
          <w:b/>
          <w:sz w:val="24"/>
          <w:szCs w:val="24"/>
        </w:rPr>
        <w:t xml:space="preserve"> WEB</w:t>
      </w:r>
      <w:r w:rsidR="0011241D">
        <w:rPr>
          <w:b/>
          <w:sz w:val="24"/>
          <w:szCs w:val="24"/>
        </w:rPr>
        <w:t>page</w:t>
      </w:r>
      <w:r w:rsidR="00EC229B">
        <w:rPr>
          <w:b/>
          <w:sz w:val="24"/>
          <w:szCs w:val="24"/>
        </w:rPr>
        <w:t>.</w:t>
      </w:r>
      <w:r w:rsidR="0011241D">
        <w:rPr>
          <w:rStyle w:val="FootnoteReference"/>
          <w:sz w:val="24"/>
          <w:szCs w:val="24"/>
        </w:rPr>
        <w:footnoteReference w:id="2"/>
      </w:r>
    </w:p>
    <w:p w14:paraId="48E4742D" w14:textId="23D73AE0" w:rsidR="006519D1" w:rsidRPr="000D0598" w:rsidRDefault="006519D1" w:rsidP="006519D1">
      <w:pPr>
        <w:ind w:firstLine="360"/>
        <w:rPr>
          <w:b/>
          <w:bCs/>
          <w:sz w:val="24"/>
          <w:szCs w:val="24"/>
        </w:rPr>
      </w:pPr>
      <w:r w:rsidRPr="00D1201F">
        <w:rPr>
          <w:sz w:val="24"/>
          <w:szCs w:val="24"/>
        </w:rPr>
        <w:lastRenderedPageBreak/>
        <w:tab/>
        <w:t xml:space="preserve">Both the Court and </w:t>
      </w:r>
      <w:r>
        <w:rPr>
          <w:sz w:val="24"/>
          <w:szCs w:val="24"/>
        </w:rPr>
        <w:t xml:space="preserve">all counsel </w:t>
      </w:r>
      <w:r w:rsidRPr="00D1201F">
        <w:rPr>
          <w:sz w:val="24"/>
          <w:szCs w:val="24"/>
        </w:rPr>
        <w:t>bear responsibility for the progress of litigation in this Court.</w:t>
      </w:r>
      <w:r>
        <w:rPr>
          <w:sz w:val="24"/>
          <w:szCs w:val="24"/>
        </w:rPr>
        <w:t xml:space="preserve"> </w:t>
      </w:r>
      <w:r>
        <w:rPr>
          <w:b/>
          <w:bCs/>
          <w:sz w:val="24"/>
          <w:szCs w:val="24"/>
        </w:rPr>
        <w:t>“Counsel,” as used in this Order, includes parties appearing pro se.</w:t>
      </w:r>
      <w:r w:rsidRPr="00002D4B">
        <w:rPr>
          <w:rStyle w:val="FootnoteReference"/>
          <w:b/>
          <w:bCs/>
          <w:sz w:val="24"/>
          <w:szCs w:val="24"/>
        </w:rPr>
        <w:footnoteReference w:id="3"/>
      </w:r>
      <w:r>
        <w:rPr>
          <w:b/>
          <w:bCs/>
          <w:sz w:val="24"/>
          <w:szCs w:val="24"/>
        </w:rPr>
        <w:t xml:space="preserve"> </w:t>
      </w:r>
      <w:r w:rsidRPr="00D1201F">
        <w:rPr>
          <w:sz w:val="24"/>
          <w:szCs w:val="24"/>
        </w:rPr>
        <w:t xml:space="preserve">To secure the just, speedy, and inexpensive determination of every action, all counsel are ordered to familiarize themselves with the Federal Rules of Civil Procedure and the Local Rules of the Central District of California. </w:t>
      </w:r>
      <w:r w:rsidRPr="00F67622">
        <w:rPr>
          <w:sz w:val="24"/>
          <w:szCs w:val="24"/>
        </w:rPr>
        <w:t xml:space="preserve">Fed. R. Civ. P. 1. </w:t>
      </w:r>
    </w:p>
    <w:p w14:paraId="7F49BC8F" w14:textId="77777777" w:rsidR="006519D1" w:rsidRPr="00D1201F" w:rsidRDefault="006519D1" w:rsidP="006519D1">
      <w:pPr>
        <w:jc w:val="center"/>
        <w:rPr>
          <w:b/>
          <w:bCs/>
          <w:sz w:val="24"/>
          <w:szCs w:val="24"/>
        </w:rPr>
      </w:pPr>
      <w:r w:rsidRPr="00D1201F">
        <w:rPr>
          <w:b/>
          <w:bCs/>
          <w:sz w:val="24"/>
          <w:szCs w:val="24"/>
        </w:rPr>
        <w:t>UNLESS THE COURT ORDERS OTHERWISE, THE FOLLOWING RULES APPLY.</w:t>
      </w:r>
    </w:p>
    <w:p w14:paraId="4AD3AE76" w14:textId="77777777" w:rsidR="006519D1" w:rsidRPr="00D1201F" w:rsidRDefault="006519D1" w:rsidP="006519D1">
      <w:pPr>
        <w:numPr>
          <w:ilvl w:val="0"/>
          <w:numId w:val="26"/>
        </w:numPr>
        <w:rPr>
          <w:b/>
          <w:bCs/>
          <w:sz w:val="24"/>
          <w:szCs w:val="24"/>
          <w:u w:val="single"/>
        </w:rPr>
      </w:pPr>
      <w:r w:rsidRPr="00D1201F">
        <w:rPr>
          <w:b/>
          <w:bCs/>
          <w:sz w:val="24"/>
          <w:szCs w:val="24"/>
          <w:u w:val="single"/>
        </w:rPr>
        <w:t>Service of the Complaint</w:t>
      </w:r>
    </w:p>
    <w:p w14:paraId="35D8D017" w14:textId="77777777" w:rsidR="006519D1" w:rsidRPr="00D1201F" w:rsidRDefault="006519D1" w:rsidP="001E027C">
      <w:pPr>
        <w:ind w:firstLine="720"/>
        <w:rPr>
          <w:sz w:val="24"/>
          <w:szCs w:val="24"/>
        </w:rPr>
      </w:pPr>
      <w:r w:rsidRPr="00D1201F">
        <w:rPr>
          <w:sz w:val="24"/>
          <w:szCs w:val="24"/>
        </w:rPr>
        <w:t xml:space="preserve">The Plaintiff shall promptly serve the </w:t>
      </w:r>
      <w:r>
        <w:rPr>
          <w:sz w:val="24"/>
          <w:szCs w:val="24"/>
        </w:rPr>
        <w:t>c</w:t>
      </w:r>
      <w:r w:rsidRPr="00D1201F">
        <w:rPr>
          <w:sz w:val="24"/>
          <w:szCs w:val="24"/>
        </w:rPr>
        <w:t xml:space="preserve">omplaint in accordance with Federal Rule of Civil Procedure 4 and shall comply with Local Rule 5-3 with respect to all proofs of service. </w:t>
      </w:r>
    </w:p>
    <w:p w14:paraId="73DD7A0F" w14:textId="012E272B" w:rsidR="00374DDE" w:rsidRPr="00D1201F" w:rsidRDefault="00374DDE" w:rsidP="001E027C">
      <w:pPr>
        <w:numPr>
          <w:ilvl w:val="0"/>
          <w:numId w:val="26"/>
        </w:numPr>
        <w:rPr>
          <w:sz w:val="24"/>
          <w:szCs w:val="24"/>
        </w:rPr>
      </w:pPr>
      <w:r>
        <w:rPr>
          <w:b/>
          <w:bCs/>
          <w:sz w:val="24"/>
          <w:szCs w:val="24"/>
          <w:u w:val="single"/>
        </w:rPr>
        <w:t>Appearances by Counsel</w:t>
      </w:r>
    </w:p>
    <w:p w14:paraId="60BE0C2D" w14:textId="77777777" w:rsidR="006519D1" w:rsidRDefault="006519D1" w:rsidP="001C0DC7">
      <w:pPr>
        <w:ind w:firstLine="720"/>
        <w:rPr>
          <w:sz w:val="24"/>
          <w:szCs w:val="24"/>
        </w:rPr>
      </w:pPr>
      <w:r w:rsidRPr="00764A41">
        <w:rPr>
          <w:sz w:val="24"/>
          <w:szCs w:val="24"/>
        </w:rPr>
        <w:t>The Court has a strong commitment to fostering the development of new and diverse lawyers in the legal community. Consequently, the Court strongly encourages litigants to provide opportunities for less experienced lawyers or lawyers whose identities and/or backgrounds further the diversity of the legal profession to conduct hearings before the Court, particularly where they contributed significantly to the underlying motion or prepared the witness. Of course, the ultimate decision of who speaks on behalf of the client is for the client and not the Court.</w:t>
      </w:r>
    </w:p>
    <w:p w14:paraId="412C5B9F" w14:textId="77777777" w:rsidR="00356400" w:rsidRPr="004C4625" w:rsidRDefault="00356400" w:rsidP="00356400">
      <w:pPr>
        <w:pStyle w:val="ListParagraph"/>
        <w:numPr>
          <w:ilvl w:val="1"/>
          <w:numId w:val="26"/>
        </w:numPr>
        <w:rPr>
          <w:sz w:val="24"/>
          <w:szCs w:val="24"/>
        </w:rPr>
      </w:pPr>
      <w:r>
        <w:rPr>
          <w:b/>
          <w:bCs/>
          <w:sz w:val="24"/>
          <w:szCs w:val="24"/>
        </w:rPr>
        <w:t>Presence of Lead Trial Counsel</w:t>
      </w:r>
    </w:p>
    <w:p w14:paraId="5DC3AF0A" w14:textId="77777777" w:rsidR="00356400" w:rsidRDefault="00356400" w:rsidP="00356400">
      <w:pPr>
        <w:ind w:firstLine="720"/>
        <w:rPr>
          <w:sz w:val="24"/>
          <w:szCs w:val="24"/>
        </w:rPr>
      </w:pPr>
      <w:r w:rsidRPr="00D1201F">
        <w:rPr>
          <w:sz w:val="24"/>
          <w:szCs w:val="24"/>
        </w:rPr>
        <w:t xml:space="preserve">Lead trial counsel shall attend any proceeding before this Court, including all </w:t>
      </w:r>
      <w:r>
        <w:rPr>
          <w:sz w:val="24"/>
          <w:szCs w:val="24"/>
        </w:rPr>
        <w:t>Scheduling</w:t>
      </w:r>
      <w:r w:rsidRPr="00D1201F">
        <w:rPr>
          <w:sz w:val="24"/>
          <w:szCs w:val="24"/>
        </w:rPr>
        <w:t xml:space="preserve">, </w:t>
      </w:r>
      <w:r>
        <w:rPr>
          <w:sz w:val="24"/>
          <w:szCs w:val="24"/>
        </w:rPr>
        <w:t>P</w:t>
      </w:r>
      <w:r w:rsidRPr="00D1201F">
        <w:rPr>
          <w:sz w:val="24"/>
          <w:szCs w:val="24"/>
        </w:rPr>
        <w:t>retrial</w:t>
      </w:r>
      <w:r>
        <w:rPr>
          <w:sz w:val="24"/>
          <w:szCs w:val="24"/>
        </w:rPr>
        <w:t>,</w:t>
      </w:r>
      <w:r w:rsidRPr="00D1201F">
        <w:rPr>
          <w:sz w:val="24"/>
          <w:szCs w:val="24"/>
        </w:rPr>
        <w:t xml:space="preserve"> and </w:t>
      </w:r>
      <w:r>
        <w:rPr>
          <w:sz w:val="24"/>
          <w:szCs w:val="24"/>
        </w:rPr>
        <w:t>S</w:t>
      </w:r>
      <w:r w:rsidRPr="00D1201F">
        <w:rPr>
          <w:sz w:val="24"/>
          <w:szCs w:val="24"/>
        </w:rPr>
        <w:t xml:space="preserve">ettlement </w:t>
      </w:r>
      <w:r>
        <w:rPr>
          <w:sz w:val="24"/>
          <w:szCs w:val="24"/>
        </w:rPr>
        <w:t>C</w:t>
      </w:r>
      <w:r w:rsidRPr="00D1201F">
        <w:rPr>
          <w:sz w:val="24"/>
          <w:szCs w:val="24"/>
        </w:rPr>
        <w:t>onferences.</w:t>
      </w:r>
    </w:p>
    <w:p w14:paraId="342D1932" w14:textId="60D588E7" w:rsidR="00356400" w:rsidRDefault="00F9496B" w:rsidP="00356400">
      <w:pPr>
        <w:pStyle w:val="ListParagraph"/>
        <w:numPr>
          <w:ilvl w:val="1"/>
          <w:numId w:val="26"/>
        </w:numPr>
        <w:rPr>
          <w:b/>
          <w:bCs/>
          <w:sz w:val="24"/>
          <w:szCs w:val="24"/>
        </w:rPr>
      </w:pPr>
      <w:r>
        <w:rPr>
          <w:b/>
          <w:bCs/>
          <w:sz w:val="24"/>
          <w:szCs w:val="24"/>
        </w:rPr>
        <w:t>Withdrawal and Substitution of</w:t>
      </w:r>
      <w:r w:rsidR="00811B54" w:rsidRPr="001E027C">
        <w:rPr>
          <w:b/>
          <w:bCs/>
          <w:sz w:val="24"/>
          <w:szCs w:val="24"/>
        </w:rPr>
        <w:t xml:space="preserve"> </w:t>
      </w:r>
      <w:r w:rsidR="002E5DA2">
        <w:rPr>
          <w:b/>
          <w:bCs/>
          <w:sz w:val="24"/>
          <w:szCs w:val="24"/>
        </w:rPr>
        <w:t>Counsel</w:t>
      </w:r>
    </w:p>
    <w:p w14:paraId="44E7ADA5" w14:textId="77777777" w:rsidR="003604E9" w:rsidRDefault="002E5DA2" w:rsidP="002E5DA2">
      <w:pPr>
        <w:ind w:firstLine="720"/>
        <w:rPr>
          <w:sz w:val="24"/>
          <w:szCs w:val="24"/>
        </w:rPr>
      </w:pPr>
      <w:r>
        <w:rPr>
          <w:sz w:val="24"/>
          <w:szCs w:val="24"/>
        </w:rPr>
        <w:t xml:space="preserve">Counsel shall </w:t>
      </w:r>
      <w:r w:rsidR="00264526">
        <w:rPr>
          <w:sz w:val="24"/>
          <w:szCs w:val="24"/>
        </w:rPr>
        <w:t xml:space="preserve">take note of the differences between the G-01 and G-123 forms and must </w:t>
      </w:r>
      <w:r>
        <w:rPr>
          <w:sz w:val="24"/>
          <w:szCs w:val="24"/>
        </w:rPr>
        <w:t>submit the appropriate form when noticing or requesting withdrawal or substitution of counsel.</w:t>
      </w:r>
      <w:r w:rsidR="00264526">
        <w:rPr>
          <w:sz w:val="24"/>
          <w:szCs w:val="24"/>
        </w:rPr>
        <w:t xml:space="preserve"> </w:t>
      </w:r>
    </w:p>
    <w:p w14:paraId="4E8AF49B" w14:textId="20324E04" w:rsidR="00811B54" w:rsidRDefault="003E0679" w:rsidP="001E027C">
      <w:pPr>
        <w:ind w:firstLine="720"/>
        <w:rPr>
          <w:sz w:val="24"/>
          <w:szCs w:val="24"/>
        </w:rPr>
      </w:pPr>
      <w:r>
        <w:rPr>
          <w:sz w:val="24"/>
          <w:szCs w:val="24"/>
        </w:rPr>
        <w:t xml:space="preserve">Per its instructions, </w:t>
      </w:r>
      <w:r w:rsidR="00264526">
        <w:rPr>
          <w:sz w:val="24"/>
          <w:szCs w:val="24"/>
        </w:rPr>
        <w:t xml:space="preserve">Form G-123 may be used to </w:t>
      </w:r>
      <w:r>
        <w:rPr>
          <w:sz w:val="24"/>
          <w:szCs w:val="24"/>
        </w:rPr>
        <w:t xml:space="preserve">terminate an attorney’s status as counsel for a party in three situations: (1) the attorney </w:t>
      </w:r>
      <w:r w:rsidR="003604E9" w:rsidRPr="003604E9">
        <w:rPr>
          <w:sz w:val="24"/>
          <w:szCs w:val="24"/>
        </w:rPr>
        <w:t>being terminated has already been relieved by the Court, but the docket does not yet reflect that fact; (2) at least one member of the attorney</w:t>
      </w:r>
      <w:r w:rsidR="003604E9">
        <w:rPr>
          <w:sz w:val="24"/>
          <w:szCs w:val="24"/>
        </w:rPr>
        <w:t>’</w:t>
      </w:r>
      <w:r w:rsidR="003604E9" w:rsidRPr="003604E9">
        <w:rPr>
          <w:sz w:val="24"/>
          <w:szCs w:val="24"/>
        </w:rPr>
        <w:t xml:space="preserve">s firm or agency </w:t>
      </w:r>
      <w:r w:rsidR="003604E9" w:rsidRPr="003604E9">
        <w:rPr>
          <w:sz w:val="24"/>
          <w:szCs w:val="24"/>
        </w:rPr>
        <w:lastRenderedPageBreak/>
        <w:t>will continue to represent that party and the withdrawing attorney is not the only member of the Bar of this Court representing that party; or (3) the represented party has been dismissed from the case, but the attorneys are still receiving notices of electronic filing.</w:t>
      </w:r>
      <w:r w:rsidR="003604E9">
        <w:rPr>
          <w:sz w:val="24"/>
          <w:szCs w:val="24"/>
        </w:rPr>
        <w:t xml:space="preserve"> </w:t>
      </w:r>
      <w:r w:rsidR="003604E9" w:rsidRPr="003604E9">
        <w:rPr>
          <w:sz w:val="24"/>
          <w:szCs w:val="24"/>
        </w:rPr>
        <w:t xml:space="preserve">In situations not covered above, attorneys seeking to withdraw from a case must first obtain permission from the Court. In such circumstances, attorneys should complete and file a </w:t>
      </w:r>
      <w:r w:rsidR="003604E9">
        <w:rPr>
          <w:sz w:val="24"/>
          <w:szCs w:val="24"/>
        </w:rPr>
        <w:t>“</w:t>
      </w:r>
      <w:r w:rsidR="003604E9" w:rsidRPr="003604E9">
        <w:rPr>
          <w:sz w:val="24"/>
          <w:szCs w:val="24"/>
        </w:rPr>
        <w:t>Request for Approval of Substitution or Withdrawal of Counsel</w:t>
      </w:r>
      <w:r w:rsidR="003604E9">
        <w:rPr>
          <w:sz w:val="24"/>
          <w:szCs w:val="24"/>
        </w:rPr>
        <w:t>” (Form G-01) instead.</w:t>
      </w:r>
    </w:p>
    <w:p w14:paraId="1F5B64AE" w14:textId="3EEB2DF4" w:rsidR="002E5DA2" w:rsidRPr="001E027C" w:rsidRDefault="000A5D16" w:rsidP="001E027C">
      <w:pPr>
        <w:ind w:firstLine="720"/>
        <w:rPr>
          <w:sz w:val="24"/>
          <w:szCs w:val="24"/>
        </w:rPr>
      </w:pPr>
      <w:r w:rsidRPr="245571F5">
        <w:rPr>
          <w:sz w:val="24"/>
          <w:szCs w:val="24"/>
        </w:rPr>
        <w:t xml:space="preserve">When submitting </w:t>
      </w:r>
      <w:r w:rsidR="00F9496B" w:rsidRPr="245571F5">
        <w:rPr>
          <w:sz w:val="24"/>
          <w:szCs w:val="24"/>
        </w:rPr>
        <w:t>Request for Approval of Substitution or Withdrawal of Counsel Form</w:t>
      </w:r>
      <w:r w:rsidR="54212E1D" w:rsidRPr="245571F5">
        <w:rPr>
          <w:sz w:val="24"/>
          <w:szCs w:val="24"/>
        </w:rPr>
        <w:t xml:space="preserve"> </w:t>
      </w:r>
      <w:r w:rsidRPr="245571F5">
        <w:rPr>
          <w:sz w:val="24"/>
          <w:szCs w:val="24"/>
        </w:rPr>
        <w:t xml:space="preserve">G-01, parties must also attach and submit </w:t>
      </w:r>
      <w:r w:rsidR="004A1F5E" w:rsidRPr="245571F5">
        <w:rPr>
          <w:sz w:val="24"/>
          <w:szCs w:val="24"/>
        </w:rPr>
        <w:t xml:space="preserve">via email </w:t>
      </w:r>
      <w:r w:rsidRPr="245571F5">
        <w:rPr>
          <w:sz w:val="24"/>
          <w:szCs w:val="24"/>
        </w:rPr>
        <w:t>a Proposed G-01 Order</w:t>
      </w:r>
      <w:r w:rsidR="004A1F5E" w:rsidRPr="245571F5">
        <w:rPr>
          <w:sz w:val="24"/>
          <w:szCs w:val="24"/>
        </w:rPr>
        <w:t xml:space="preserve"> in </w:t>
      </w:r>
      <w:r w:rsidR="00CE6BDC">
        <w:rPr>
          <w:sz w:val="24"/>
          <w:szCs w:val="24"/>
        </w:rPr>
        <w:t xml:space="preserve">Microsoft </w:t>
      </w:r>
      <w:r w:rsidR="004A1F5E" w:rsidRPr="245571F5">
        <w:rPr>
          <w:sz w:val="24"/>
          <w:szCs w:val="24"/>
        </w:rPr>
        <w:t>Word format</w:t>
      </w:r>
      <w:r w:rsidRPr="245571F5">
        <w:rPr>
          <w:sz w:val="24"/>
          <w:szCs w:val="24"/>
        </w:rPr>
        <w:t>.</w:t>
      </w:r>
      <w:r w:rsidR="004A1F5E" w:rsidRPr="245571F5">
        <w:rPr>
          <w:sz w:val="24"/>
          <w:szCs w:val="24"/>
        </w:rPr>
        <w:t xml:space="preserve"> </w:t>
      </w:r>
      <w:r w:rsidR="004A1F5E" w:rsidRPr="245571F5">
        <w:rPr>
          <w:i/>
          <w:iCs/>
          <w:sz w:val="24"/>
          <w:szCs w:val="24"/>
        </w:rPr>
        <w:t>See</w:t>
      </w:r>
      <w:r w:rsidR="004A1F5E" w:rsidRPr="245571F5">
        <w:rPr>
          <w:sz w:val="24"/>
          <w:szCs w:val="24"/>
        </w:rPr>
        <w:t xml:space="preserve"> </w:t>
      </w:r>
      <w:proofErr w:type="gramStart"/>
      <w:r w:rsidR="004A1F5E" w:rsidRPr="245571F5">
        <w:rPr>
          <w:i/>
          <w:iCs/>
          <w:sz w:val="24"/>
          <w:szCs w:val="24"/>
        </w:rPr>
        <w:t>infra</w:t>
      </w:r>
      <w:r w:rsidR="004A1F5E" w:rsidRPr="245571F5">
        <w:rPr>
          <w:sz w:val="24"/>
          <w:szCs w:val="24"/>
        </w:rPr>
        <w:t xml:space="preserve"> Section IX</w:t>
      </w:r>
      <w:proofErr w:type="gramEnd"/>
      <w:r w:rsidR="004A1F5E" w:rsidRPr="245571F5">
        <w:rPr>
          <w:sz w:val="24"/>
          <w:szCs w:val="24"/>
        </w:rPr>
        <w:t>.</w:t>
      </w:r>
      <w:r w:rsidRPr="245571F5">
        <w:rPr>
          <w:sz w:val="24"/>
          <w:szCs w:val="24"/>
        </w:rPr>
        <w:t xml:space="preserve"> </w:t>
      </w:r>
      <w:r w:rsidR="00F9496B" w:rsidRPr="245571F5">
        <w:rPr>
          <w:sz w:val="24"/>
          <w:szCs w:val="24"/>
        </w:rPr>
        <w:t>All relevant forms may be found on the Court’s website.</w:t>
      </w:r>
    </w:p>
    <w:p w14:paraId="75E60112" w14:textId="77777777" w:rsidR="006519D1" w:rsidRPr="00D1201F" w:rsidRDefault="006519D1" w:rsidP="006519D1">
      <w:pPr>
        <w:numPr>
          <w:ilvl w:val="0"/>
          <w:numId w:val="26"/>
        </w:numPr>
        <w:rPr>
          <w:b/>
          <w:bCs/>
          <w:sz w:val="24"/>
          <w:szCs w:val="24"/>
          <w:u w:val="single"/>
        </w:rPr>
      </w:pPr>
      <w:r w:rsidRPr="00D1201F">
        <w:rPr>
          <w:b/>
          <w:bCs/>
          <w:sz w:val="24"/>
          <w:szCs w:val="24"/>
          <w:u w:val="single"/>
        </w:rPr>
        <w:t>Invitation to Self-Identify Pronouns and Honorifics</w:t>
      </w:r>
    </w:p>
    <w:p w14:paraId="13C410DE" w14:textId="77777777" w:rsidR="006519D1" w:rsidRPr="00D1201F" w:rsidRDefault="006519D1" w:rsidP="001E027C">
      <w:pPr>
        <w:ind w:firstLine="720"/>
        <w:rPr>
          <w:sz w:val="24"/>
          <w:szCs w:val="24"/>
        </w:rPr>
      </w:pPr>
      <w:r w:rsidRPr="00D1201F">
        <w:rPr>
          <w:sz w:val="24"/>
          <w:szCs w:val="24"/>
        </w:rPr>
        <w:t xml:space="preserve">Litigants and </w:t>
      </w:r>
      <w:r>
        <w:rPr>
          <w:sz w:val="24"/>
          <w:szCs w:val="24"/>
        </w:rPr>
        <w:t>counsel</w:t>
      </w:r>
      <w:r w:rsidRPr="00D1201F">
        <w:rPr>
          <w:sz w:val="24"/>
          <w:szCs w:val="24"/>
        </w:rPr>
        <w:t xml:space="preserve"> may indicate their pronouns and honorifics by filing a letter, adding the information in the name block or signature line of the pleadings, or verbally informing the Court when making an appearance.</w:t>
      </w:r>
    </w:p>
    <w:p w14:paraId="64D59557" w14:textId="23F8FC46" w:rsidR="00405A3A" w:rsidRDefault="00405A3A" w:rsidP="006519D1">
      <w:pPr>
        <w:numPr>
          <w:ilvl w:val="0"/>
          <w:numId w:val="26"/>
        </w:numPr>
        <w:rPr>
          <w:b/>
          <w:bCs/>
          <w:sz w:val="24"/>
          <w:szCs w:val="24"/>
          <w:u w:val="single"/>
        </w:rPr>
      </w:pPr>
      <w:r>
        <w:rPr>
          <w:b/>
          <w:bCs/>
          <w:sz w:val="24"/>
          <w:szCs w:val="24"/>
          <w:u w:val="single"/>
        </w:rPr>
        <w:t>Amended Pleadings</w:t>
      </w:r>
    </w:p>
    <w:p w14:paraId="241ED972" w14:textId="5AACF78A" w:rsidR="00405A3A" w:rsidRPr="00405A3A" w:rsidRDefault="00F379D0" w:rsidP="00EE2E05">
      <w:pPr>
        <w:ind w:firstLine="720"/>
        <w:rPr>
          <w:sz w:val="24"/>
          <w:szCs w:val="24"/>
        </w:rPr>
      </w:pPr>
      <w:r>
        <w:rPr>
          <w:sz w:val="24"/>
          <w:szCs w:val="24"/>
        </w:rPr>
        <w:t xml:space="preserve">Whenever amended versions </w:t>
      </w:r>
      <w:r w:rsidR="00561AE6">
        <w:rPr>
          <w:sz w:val="24"/>
          <w:szCs w:val="24"/>
        </w:rPr>
        <w:t xml:space="preserve">of any pleading </w:t>
      </w:r>
      <w:r w:rsidR="002E6247">
        <w:rPr>
          <w:sz w:val="24"/>
          <w:szCs w:val="24"/>
        </w:rPr>
        <w:t>are filed</w:t>
      </w:r>
      <w:r w:rsidR="00EE2E05">
        <w:rPr>
          <w:sz w:val="24"/>
          <w:szCs w:val="24"/>
        </w:rPr>
        <w:t xml:space="preserve">, the amending party must file a redlined version of the amended pleading </w:t>
      </w:r>
      <w:r w:rsidR="00881CFC" w:rsidRPr="00D1201F">
        <w:rPr>
          <w:sz w:val="24"/>
          <w:szCs w:val="24"/>
        </w:rPr>
        <w:t xml:space="preserve">identifying all additions and deletions of material </w:t>
      </w:r>
      <w:r w:rsidR="00881CFC">
        <w:rPr>
          <w:sz w:val="24"/>
          <w:szCs w:val="24"/>
        </w:rPr>
        <w:t>to the pleading on</w:t>
      </w:r>
      <w:r w:rsidR="00EE2E05">
        <w:rPr>
          <w:sz w:val="24"/>
          <w:szCs w:val="24"/>
        </w:rPr>
        <w:t xml:space="preserve"> the docket </w:t>
      </w:r>
      <w:r w:rsidR="00EE2E05" w:rsidRPr="00EE2E05">
        <w:rPr>
          <w:b/>
          <w:bCs/>
          <w:sz w:val="24"/>
          <w:szCs w:val="24"/>
        </w:rPr>
        <w:t>and</w:t>
      </w:r>
      <w:r w:rsidR="00EE2E05">
        <w:rPr>
          <w:sz w:val="24"/>
          <w:szCs w:val="24"/>
        </w:rPr>
        <w:t xml:space="preserve"> email the redlined version in </w:t>
      </w:r>
      <w:r w:rsidR="00CE6BDC">
        <w:rPr>
          <w:sz w:val="24"/>
          <w:szCs w:val="24"/>
        </w:rPr>
        <w:t xml:space="preserve">Microsoft </w:t>
      </w:r>
      <w:r w:rsidR="00EE2E05">
        <w:rPr>
          <w:sz w:val="24"/>
          <w:szCs w:val="24"/>
        </w:rPr>
        <w:t>Word format to the C</w:t>
      </w:r>
      <w:r w:rsidR="00EE2E05" w:rsidRPr="00D1201F">
        <w:rPr>
          <w:sz w:val="24"/>
          <w:szCs w:val="24"/>
        </w:rPr>
        <w:t>ourt’s chambers email address</w:t>
      </w:r>
      <w:r w:rsidR="00EE2E05">
        <w:rPr>
          <w:sz w:val="24"/>
          <w:szCs w:val="24"/>
        </w:rPr>
        <w:t xml:space="preserve"> at</w:t>
      </w:r>
      <w:r w:rsidR="00EE2E05" w:rsidRPr="008C18CB">
        <w:rPr>
          <w:sz w:val="24"/>
          <w:szCs w:val="24"/>
        </w:rPr>
        <w:t xml:space="preserve"> MEMF_Chambers@cacd.uscourts.gov</w:t>
      </w:r>
      <w:r w:rsidR="00EE2E05">
        <w:rPr>
          <w:sz w:val="24"/>
          <w:szCs w:val="24"/>
        </w:rPr>
        <w:t>.</w:t>
      </w:r>
    </w:p>
    <w:p w14:paraId="63C7DBE7" w14:textId="362C8420" w:rsidR="006519D1" w:rsidRPr="00D1201F" w:rsidRDefault="006519D1" w:rsidP="006519D1">
      <w:pPr>
        <w:numPr>
          <w:ilvl w:val="0"/>
          <w:numId w:val="26"/>
        </w:numPr>
        <w:rPr>
          <w:b/>
          <w:bCs/>
          <w:sz w:val="24"/>
          <w:szCs w:val="24"/>
          <w:u w:val="single"/>
        </w:rPr>
      </w:pPr>
      <w:r>
        <w:rPr>
          <w:b/>
          <w:bCs/>
          <w:sz w:val="24"/>
          <w:szCs w:val="24"/>
          <w:u w:val="single"/>
        </w:rPr>
        <w:t xml:space="preserve">Scheduling Conference and </w:t>
      </w:r>
      <w:r w:rsidRPr="00D1201F">
        <w:rPr>
          <w:b/>
          <w:bCs/>
          <w:sz w:val="24"/>
          <w:szCs w:val="24"/>
          <w:u w:val="single"/>
        </w:rPr>
        <w:t>Rule 26(</w:t>
      </w:r>
      <w:r>
        <w:rPr>
          <w:b/>
          <w:bCs/>
          <w:sz w:val="24"/>
          <w:szCs w:val="24"/>
          <w:u w:val="single"/>
        </w:rPr>
        <w:t>f</w:t>
      </w:r>
      <w:r w:rsidRPr="00D1201F">
        <w:rPr>
          <w:b/>
          <w:bCs/>
          <w:sz w:val="24"/>
          <w:szCs w:val="24"/>
          <w:u w:val="single"/>
        </w:rPr>
        <w:t>) Meeting of Counsel</w:t>
      </w:r>
    </w:p>
    <w:p w14:paraId="239627AD" w14:textId="2E6F0C80" w:rsidR="006519D1" w:rsidRDefault="00D33B92" w:rsidP="001E027C">
      <w:pPr>
        <w:ind w:firstLine="720"/>
        <w:rPr>
          <w:sz w:val="24"/>
          <w:szCs w:val="24"/>
        </w:rPr>
      </w:pPr>
      <w:r>
        <w:rPr>
          <w:sz w:val="24"/>
          <w:szCs w:val="24"/>
        </w:rPr>
        <w:t xml:space="preserve">This court hears </w:t>
      </w:r>
      <w:r w:rsidR="007E4118">
        <w:rPr>
          <w:sz w:val="24"/>
          <w:szCs w:val="24"/>
        </w:rPr>
        <w:t xml:space="preserve">status conferences and scheduling conferences on </w:t>
      </w:r>
      <w:r w:rsidR="007E4118" w:rsidRPr="00AA62A2">
        <w:rPr>
          <w:b/>
          <w:bCs/>
          <w:sz w:val="24"/>
          <w:szCs w:val="24"/>
        </w:rPr>
        <w:t>Thursdays, beginning at 10:00 a.m.</w:t>
      </w:r>
      <w:r w:rsidR="007E4118">
        <w:rPr>
          <w:sz w:val="24"/>
          <w:szCs w:val="24"/>
        </w:rPr>
        <w:t xml:space="preserve"> </w:t>
      </w:r>
      <w:r w:rsidR="006519D1" w:rsidRPr="00166E5A">
        <w:rPr>
          <w:sz w:val="24"/>
          <w:szCs w:val="24"/>
        </w:rPr>
        <w:t xml:space="preserve">Pursuant to </w:t>
      </w:r>
      <w:r w:rsidR="006519D1">
        <w:rPr>
          <w:sz w:val="24"/>
          <w:szCs w:val="24"/>
        </w:rPr>
        <w:t xml:space="preserve">Federal Rules of Civil Procedure </w:t>
      </w:r>
      <w:r w:rsidR="006519D1" w:rsidRPr="00166E5A">
        <w:rPr>
          <w:sz w:val="24"/>
          <w:szCs w:val="24"/>
        </w:rPr>
        <w:t xml:space="preserve">16(b) and 26(f), the Court will issue an Order </w:t>
      </w:r>
      <w:r w:rsidR="006519D1">
        <w:rPr>
          <w:sz w:val="24"/>
          <w:szCs w:val="24"/>
        </w:rPr>
        <w:t>S</w:t>
      </w:r>
      <w:r w:rsidR="006519D1" w:rsidRPr="00166E5A">
        <w:rPr>
          <w:sz w:val="24"/>
          <w:szCs w:val="24"/>
        </w:rPr>
        <w:t xml:space="preserve">etting a Scheduling Conference. </w:t>
      </w:r>
      <w:r w:rsidR="006519D1" w:rsidRPr="00D1201F">
        <w:rPr>
          <w:sz w:val="24"/>
          <w:szCs w:val="24"/>
        </w:rPr>
        <w:t xml:space="preserve">Counsel shall meet </w:t>
      </w:r>
      <w:r w:rsidR="006519D1">
        <w:rPr>
          <w:sz w:val="24"/>
          <w:szCs w:val="24"/>
        </w:rPr>
        <w:t xml:space="preserve">no later than twenty-one (21) days prior to the court-ordered Scheduling Conference </w:t>
      </w:r>
      <w:r w:rsidR="006519D1" w:rsidRPr="00D1201F">
        <w:rPr>
          <w:sz w:val="24"/>
          <w:szCs w:val="24"/>
        </w:rPr>
        <w:t xml:space="preserve">pursuant to Federal Rule of Civil Procedure 26(f) and applicable Local Rules. </w:t>
      </w:r>
      <w:r w:rsidR="006519D1">
        <w:rPr>
          <w:sz w:val="24"/>
          <w:szCs w:val="24"/>
        </w:rPr>
        <w:t>This meeting may occur telephonically and need not occur in person. A written exchange of correspondence will not satisfy this requirement.</w:t>
      </w:r>
    </w:p>
    <w:p w14:paraId="62AB8F20" w14:textId="28BCFE82" w:rsidR="004D2BCE" w:rsidRDefault="004D2BCE" w:rsidP="001E027C">
      <w:pPr>
        <w:ind w:firstLine="720"/>
        <w:rPr>
          <w:sz w:val="24"/>
          <w:szCs w:val="24"/>
        </w:rPr>
      </w:pPr>
      <w:r>
        <w:rPr>
          <w:sz w:val="24"/>
          <w:szCs w:val="24"/>
        </w:rPr>
        <w:t>Please note that absent unusual circumstances, scheduling conferences will not be set until an answer has been filed.</w:t>
      </w:r>
    </w:p>
    <w:p w14:paraId="1D40006A" w14:textId="5E9835A2" w:rsidR="00A96F43" w:rsidRPr="00D1201F" w:rsidRDefault="00A96F43" w:rsidP="00A96F43">
      <w:pPr>
        <w:rPr>
          <w:sz w:val="24"/>
          <w:szCs w:val="24"/>
        </w:rPr>
      </w:pPr>
      <w:r>
        <w:rPr>
          <w:sz w:val="24"/>
          <w:szCs w:val="24"/>
        </w:rPr>
        <w:t>/ / /</w:t>
      </w:r>
    </w:p>
    <w:p w14:paraId="54ED8122" w14:textId="77777777" w:rsidR="006519D1" w:rsidRPr="00D1201F" w:rsidRDefault="006519D1" w:rsidP="006519D1">
      <w:pPr>
        <w:numPr>
          <w:ilvl w:val="0"/>
          <w:numId w:val="26"/>
        </w:numPr>
        <w:rPr>
          <w:b/>
          <w:bCs/>
          <w:sz w:val="24"/>
          <w:szCs w:val="24"/>
          <w:u w:val="single"/>
        </w:rPr>
      </w:pPr>
      <w:r w:rsidRPr="00D1201F">
        <w:rPr>
          <w:b/>
          <w:bCs/>
          <w:sz w:val="24"/>
          <w:szCs w:val="24"/>
          <w:u w:val="single"/>
        </w:rPr>
        <w:lastRenderedPageBreak/>
        <w:t xml:space="preserve">Joint </w:t>
      </w:r>
      <w:r>
        <w:rPr>
          <w:b/>
          <w:bCs/>
          <w:sz w:val="24"/>
          <w:szCs w:val="24"/>
          <w:u w:val="single"/>
        </w:rPr>
        <w:t>Rule 26(f) Report</w:t>
      </w:r>
    </w:p>
    <w:p w14:paraId="61D1AA3C" w14:textId="74B937DC" w:rsidR="006519D1" w:rsidRPr="00932C68" w:rsidRDefault="006519D1" w:rsidP="001E027C">
      <w:pPr>
        <w:ind w:firstLine="720"/>
        <w:rPr>
          <w:sz w:val="24"/>
          <w:szCs w:val="24"/>
        </w:rPr>
      </w:pPr>
      <w:r w:rsidRPr="00D1201F">
        <w:rPr>
          <w:sz w:val="24"/>
          <w:szCs w:val="24"/>
        </w:rPr>
        <w:t xml:space="preserve">Unless otherwise ordered, no later than </w:t>
      </w:r>
      <w:r w:rsidR="00932C68">
        <w:rPr>
          <w:sz w:val="24"/>
          <w:szCs w:val="24"/>
        </w:rPr>
        <w:t>fourteen</w:t>
      </w:r>
      <w:r w:rsidRPr="00D1201F">
        <w:rPr>
          <w:sz w:val="24"/>
          <w:szCs w:val="24"/>
        </w:rPr>
        <w:t xml:space="preserve"> (</w:t>
      </w:r>
      <w:r w:rsidR="00932C68">
        <w:rPr>
          <w:sz w:val="24"/>
          <w:szCs w:val="24"/>
        </w:rPr>
        <w:t>14</w:t>
      </w:r>
      <w:r w:rsidRPr="00D1201F">
        <w:rPr>
          <w:sz w:val="24"/>
          <w:szCs w:val="24"/>
        </w:rPr>
        <w:t xml:space="preserve">) days before the Scheduling Conference, counsel shall file a </w:t>
      </w:r>
      <w:r>
        <w:rPr>
          <w:sz w:val="24"/>
          <w:szCs w:val="24"/>
        </w:rPr>
        <w:t>Joint Rule 26(f) Report</w:t>
      </w:r>
      <w:r w:rsidRPr="00D1201F">
        <w:rPr>
          <w:sz w:val="24"/>
          <w:szCs w:val="24"/>
        </w:rPr>
        <w:t xml:space="preserve">. </w:t>
      </w:r>
      <w:r w:rsidR="008E1B7B" w:rsidRPr="00D1201F">
        <w:rPr>
          <w:sz w:val="24"/>
          <w:szCs w:val="24"/>
        </w:rPr>
        <w:t xml:space="preserve">The </w:t>
      </w:r>
      <w:r w:rsidR="008E1B7B">
        <w:rPr>
          <w:sz w:val="24"/>
          <w:szCs w:val="24"/>
        </w:rPr>
        <w:t>Joint Rule 26(f) Report</w:t>
      </w:r>
      <w:r w:rsidR="008E1B7B" w:rsidRPr="00D1201F">
        <w:rPr>
          <w:sz w:val="24"/>
          <w:szCs w:val="24"/>
        </w:rPr>
        <w:t xml:space="preserve"> shall address the matters set forth in Federal Rule of Civil Procedure 26(f)</w:t>
      </w:r>
      <w:r w:rsidR="008E1B7B">
        <w:rPr>
          <w:sz w:val="24"/>
          <w:szCs w:val="24"/>
        </w:rPr>
        <w:t>, as well as those enumerated in the Court’s Order Setting Scheduling Conference, found on the bottom of Judge Frimpong’s webpage.</w:t>
      </w:r>
      <w:r w:rsidR="008E1B7B">
        <w:rPr>
          <w:rStyle w:val="FootnoteReference"/>
          <w:sz w:val="24"/>
          <w:szCs w:val="24"/>
        </w:rPr>
        <w:footnoteReference w:id="4"/>
      </w:r>
      <w:r w:rsidR="008E1B7B">
        <w:rPr>
          <w:sz w:val="24"/>
          <w:szCs w:val="24"/>
        </w:rPr>
        <w:t xml:space="preserve"> </w:t>
      </w:r>
      <w:r w:rsidRPr="00D1201F">
        <w:rPr>
          <w:sz w:val="24"/>
          <w:szCs w:val="24"/>
        </w:rPr>
        <w:t xml:space="preserve">A Joint </w:t>
      </w:r>
      <w:r>
        <w:rPr>
          <w:sz w:val="24"/>
          <w:szCs w:val="24"/>
        </w:rPr>
        <w:t>Rule 26(f) Report</w:t>
      </w:r>
      <w:r w:rsidRPr="00D1201F">
        <w:rPr>
          <w:sz w:val="24"/>
          <w:szCs w:val="24"/>
        </w:rPr>
        <w:t xml:space="preserve"> which is not timely filed or does not conform with this Order, Federal Rule of Civil Procedure 26(f), and applicable Local Rules will interfere with preparation by the Court and its staff and may result in the assessment of sanctions.</w:t>
      </w:r>
      <w:r w:rsidR="00932C68">
        <w:rPr>
          <w:sz w:val="24"/>
          <w:szCs w:val="24"/>
        </w:rPr>
        <w:t xml:space="preserve"> </w:t>
      </w:r>
    </w:p>
    <w:p w14:paraId="437CB9EE" w14:textId="77777777" w:rsidR="006519D1" w:rsidRPr="00D1201F" w:rsidRDefault="006519D1" w:rsidP="006519D1">
      <w:pPr>
        <w:numPr>
          <w:ilvl w:val="0"/>
          <w:numId w:val="26"/>
        </w:numPr>
        <w:rPr>
          <w:b/>
          <w:bCs/>
          <w:sz w:val="24"/>
          <w:szCs w:val="24"/>
          <w:u w:val="single"/>
        </w:rPr>
      </w:pPr>
      <w:r w:rsidRPr="00D1201F">
        <w:rPr>
          <w:b/>
          <w:bCs/>
          <w:sz w:val="24"/>
          <w:szCs w:val="24"/>
          <w:u w:val="single"/>
        </w:rPr>
        <w:t>Discovery</w:t>
      </w:r>
    </w:p>
    <w:p w14:paraId="22F5BC26" w14:textId="7471D65C" w:rsidR="006519D1" w:rsidRPr="00D1201F" w:rsidRDefault="006519D1" w:rsidP="001E027C">
      <w:pPr>
        <w:ind w:firstLine="720"/>
        <w:rPr>
          <w:sz w:val="24"/>
          <w:szCs w:val="24"/>
        </w:rPr>
      </w:pPr>
      <w:r w:rsidRPr="00D1201F">
        <w:rPr>
          <w:sz w:val="24"/>
          <w:szCs w:val="24"/>
        </w:rPr>
        <w:t xml:space="preserve">All discovery matters have been referred to a </w:t>
      </w:r>
      <w:r>
        <w:rPr>
          <w:sz w:val="24"/>
          <w:szCs w:val="24"/>
        </w:rPr>
        <w:t>magistrate judge</w:t>
      </w:r>
      <w:r w:rsidRPr="00D1201F">
        <w:rPr>
          <w:sz w:val="24"/>
          <w:szCs w:val="24"/>
        </w:rPr>
        <w:t xml:space="preserve">, who will hear all discovery disputes. The </w:t>
      </w:r>
      <w:r w:rsidR="00932C68">
        <w:rPr>
          <w:sz w:val="24"/>
          <w:szCs w:val="24"/>
        </w:rPr>
        <w:t>magistrate judge’s</w:t>
      </w:r>
      <w:r w:rsidRPr="00D1201F">
        <w:rPr>
          <w:sz w:val="24"/>
          <w:szCs w:val="24"/>
        </w:rPr>
        <w:t xml:space="preserve"> initials follow the </w:t>
      </w:r>
      <w:r w:rsidR="00932C68">
        <w:rPr>
          <w:sz w:val="24"/>
          <w:szCs w:val="24"/>
        </w:rPr>
        <w:t>district judge’s</w:t>
      </w:r>
      <w:r w:rsidRPr="00D1201F">
        <w:rPr>
          <w:sz w:val="24"/>
          <w:szCs w:val="24"/>
        </w:rPr>
        <w:t xml:space="preserve"> initials next to the case number. All discovery documents must include the words </w:t>
      </w:r>
      <w:r>
        <w:rPr>
          <w:sz w:val="24"/>
          <w:szCs w:val="24"/>
        </w:rPr>
        <w:t>“</w:t>
      </w:r>
      <w:r w:rsidRPr="00D1201F">
        <w:rPr>
          <w:sz w:val="24"/>
          <w:szCs w:val="24"/>
        </w:rPr>
        <w:t>DISCOVERY MATTER</w:t>
      </w:r>
      <w:r>
        <w:rPr>
          <w:sz w:val="24"/>
          <w:szCs w:val="24"/>
        </w:rPr>
        <w:t>”</w:t>
      </w:r>
      <w:r w:rsidRPr="00D1201F">
        <w:rPr>
          <w:sz w:val="24"/>
          <w:szCs w:val="24"/>
        </w:rPr>
        <w:t xml:space="preserve"> in the caption to ensure proper routing. Please do not deliver courtesy copies of discovery documents to </w:t>
      </w:r>
      <w:r>
        <w:rPr>
          <w:sz w:val="24"/>
          <w:szCs w:val="24"/>
        </w:rPr>
        <w:t>Judge Frimpong’s chambers.</w:t>
      </w:r>
      <w:r w:rsidRPr="00D1201F">
        <w:rPr>
          <w:sz w:val="24"/>
          <w:szCs w:val="24"/>
        </w:rPr>
        <w:t xml:space="preserve"> </w:t>
      </w:r>
    </w:p>
    <w:p w14:paraId="483FCBBB" w14:textId="496605D2" w:rsidR="006519D1" w:rsidRDefault="006519D1" w:rsidP="001E027C">
      <w:pPr>
        <w:ind w:firstLine="720"/>
        <w:rPr>
          <w:sz w:val="24"/>
          <w:szCs w:val="24"/>
        </w:rPr>
      </w:pPr>
      <w:r w:rsidRPr="00D1201F">
        <w:rPr>
          <w:sz w:val="24"/>
          <w:szCs w:val="24"/>
        </w:rPr>
        <w:t xml:space="preserve">In accordance with 28 U.S.C. § 636(b)(1)(A), the </w:t>
      </w:r>
      <w:r w:rsidR="00932C68">
        <w:rPr>
          <w:sz w:val="24"/>
          <w:szCs w:val="24"/>
        </w:rPr>
        <w:t>magistrate judge’s</w:t>
      </w:r>
      <w:r w:rsidRPr="00D1201F">
        <w:rPr>
          <w:sz w:val="24"/>
          <w:szCs w:val="24"/>
        </w:rPr>
        <w:t xml:space="preserve"> decision shall be final, and this </w:t>
      </w:r>
      <w:r>
        <w:rPr>
          <w:sz w:val="24"/>
          <w:szCs w:val="24"/>
        </w:rPr>
        <w:t>C</w:t>
      </w:r>
      <w:r w:rsidRPr="00D1201F">
        <w:rPr>
          <w:sz w:val="24"/>
          <w:szCs w:val="24"/>
        </w:rPr>
        <w:t xml:space="preserve">ourt will not reverse any order of the </w:t>
      </w:r>
      <w:r w:rsidR="00932C68">
        <w:rPr>
          <w:sz w:val="24"/>
          <w:szCs w:val="24"/>
        </w:rPr>
        <w:t>magistrate judge</w:t>
      </w:r>
      <w:r w:rsidRPr="00D1201F">
        <w:rPr>
          <w:sz w:val="24"/>
          <w:szCs w:val="24"/>
        </w:rPr>
        <w:t xml:space="preserve"> unless it has been shown that the </w:t>
      </w:r>
      <w:r w:rsidR="00932C68">
        <w:rPr>
          <w:sz w:val="24"/>
          <w:szCs w:val="24"/>
        </w:rPr>
        <w:t>magistrate judge’s</w:t>
      </w:r>
      <w:r w:rsidRPr="00D1201F">
        <w:rPr>
          <w:sz w:val="24"/>
          <w:szCs w:val="24"/>
        </w:rPr>
        <w:t xml:space="preserve"> order is clearly erroneous and contrary to law. Any party may file and serve a motion for review and reconsideration before this </w:t>
      </w:r>
      <w:r>
        <w:rPr>
          <w:sz w:val="24"/>
          <w:szCs w:val="24"/>
        </w:rPr>
        <w:t>C</w:t>
      </w:r>
      <w:r w:rsidRPr="00D1201F">
        <w:rPr>
          <w:sz w:val="24"/>
          <w:szCs w:val="24"/>
        </w:rPr>
        <w:t xml:space="preserve">ourt. </w:t>
      </w:r>
      <w:r w:rsidRPr="00D1201F">
        <w:rPr>
          <w:i/>
          <w:iCs/>
          <w:sz w:val="24"/>
          <w:szCs w:val="24"/>
        </w:rPr>
        <w:t xml:space="preserve">See </w:t>
      </w:r>
      <w:r w:rsidRPr="00D1201F">
        <w:rPr>
          <w:sz w:val="24"/>
          <w:szCs w:val="24"/>
        </w:rPr>
        <w:t xml:space="preserve">Local </w:t>
      </w:r>
      <w:r>
        <w:rPr>
          <w:sz w:val="24"/>
          <w:szCs w:val="24"/>
        </w:rPr>
        <w:t>R</w:t>
      </w:r>
      <w:r w:rsidRPr="00D1201F">
        <w:rPr>
          <w:sz w:val="24"/>
          <w:szCs w:val="24"/>
        </w:rPr>
        <w:t>ule 72-2. The moving party must file and serve the motion within fourteen (14) days of service of a written ruling</w:t>
      </w:r>
      <w:r>
        <w:rPr>
          <w:sz w:val="24"/>
          <w:szCs w:val="24"/>
        </w:rPr>
        <w:t xml:space="preserve"> or</w:t>
      </w:r>
      <w:r w:rsidRPr="00D1201F">
        <w:rPr>
          <w:sz w:val="24"/>
          <w:szCs w:val="24"/>
        </w:rPr>
        <w:t xml:space="preserve"> an oral ruling that the </w:t>
      </w:r>
      <w:r w:rsidR="00932C68">
        <w:rPr>
          <w:sz w:val="24"/>
          <w:szCs w:val="24"/>
        </w:rPr>
        <w:t>magistrate judge</w:t>
      </w:r>
      <w:r w:rsidRPr="00D1201F">
        <w:rPr>
          <w:sz w:val="24"/>
          <w:szCs w:val="24"/>
        </w:rPr>
        <w:t xml:space="preserve"> states will not be followed by a written ruling. The motion must specify which portions of the ruling are clearly erroneous and contrary to law, and the claim must be supported by points and authorities. Counsel shall provide the </w:t>
      </w:r>
      <w:r w:rsidR="00932C68">
        <w:rPr>
          <w:sz w:val="24"/>
          <w:szCs w:val="24"/>
        </w:rPr>
        <w:t>magistrate judge</w:t>
      </w:r>
      <w:r w:rsidRPr="00D1201F">
        <w:rPr>
          <w:sz w:val="24"/>
          <w:szCs w:val="24"/>
        </w:rPr>
        <w:t xml:space="preserve"> </w:t>
      </w:r>
      <w:proofErr w:type="gramStart"/>
      <w:r w:rsidRPr="00D1201F">
        <w:rPr>
          <w:sz w:val="24"/>
          <w:szCs w:val="24"/>
        </w:rPr>
        <w:t>chambers</w:t>
      </w:r>
      <w:proofErr w:type="gramEnd"/>
      <w:r w:rsidRPr="00D1201F">
        <w:rPr>
          <w:sz w:val="24"/>
          <w:szCs w:val="24"/>
        </w:rPr>
        <w:t xml:space="preserve"> copies of the moving papers and responses.</w:t>
      </w:r>
    </w:p>
    <w:p w14:paraId="23D5C240" w14:textId="77777777" w:rsidR="003E65AD" w:rsidRDefault="003E65AD" w:rsidP="003E65AD">
      <w:pPr>
        <w:rPr>
          <w:sz w:val="24"/>
          <w:szCs w:val="24"/>
        </w:rPr>
      </w:pPr>
    </w:p>
    <w:p w14:paraId="774EEB8F" w14:textId="51337380" w:rsidR="003E65AD" w:rsidRDefault="003E65AD" w:rsidP="003E65AD">
      <w:pPr>
        <w:rPr>
          <w:sz w:val="24"/>
          <w:szCs w:val="24"/>
        </w:rPr>
      </w:pPr>
      <w:r>
        <w:rPr>
          <w:sz w:val="24"/>
          <w:szCs w:val="24"/>
        </w:rPr>
        <w:t>/ / /</w:t>
      </w:r>
    </w:p>
    <w:p w14:paraId="41950A24" w14:textId="6E3AFCD5" w:rsidR="003E65AD" w:rsidRPr="00D1201F" w:rsidRDefault="003E65AD" w:rsidP="003E65AD">
      <w:pPr>
        <w:rPr>
          <w:sz w:val="24"/>
          <w:szCs w:val="24"/>
        </w:rPr>
      </w:pPr>
      <w:r>
        <w:rPr>
          <w:sz w:val="24"/>
          <w:szCs w:val="24"/>
        </w:rPr>
        <w:t>/ / /</w:t>
      </w:r>
    </w:p>
    <w:p w14:paraId="52779B2D" w14:textId="77777777" w:rsidR="006519D1" w:rsidRPr="00D1201F" w:rsidRDefault="006519D1" w:rsidP="006519D1">
      <w:pPr>
        <w:numPr>
          <w:ilvl w:val="0"/>
          <w:numId w:val="26"/>
        </w:numPr>
        <w:rPr>
          <w:b/>
          <w:bCs/>
          <w:sz w:val="24"/>
          <w:szCs w:val="24"/>
          <w:u w:val="single"/>
        </w:rPr>
      </w:pPr>
      <w:r w:rsidRPr="00D1201F">
        <w:rPr>
          <w:b/>
          <w:bCs/>
          <w:sz w:val="24"/>
          <w:szCs w:val="24"/>
          <w:u w:val="single"/>
        </w:rPr>
        <w:lastRenderedPageBreak/>
        <w:t>Motions – General Requirements</w:t>
      </w:r>
    </w:p>
    <w:p w14:paraId="5188E9CF" w14:textId="492A8E4C" w:rsidR="006519D1" w:rsidRPr="00D1201F" w:rsidRDefault="006519D1" w:rsidP="006519D1">
      <w:pPr>
        <w:numPr>
          <w:ilvl w:val="1"/>
          <w:numId w:val="26"/>
        </w:numPr>
        <w:ind w:left="0" w:firstLine="720"/>
        <w:rPr>
          <w:b/>
          <w:bCs/>
          <w:sz w:val="24"/>
          <w:szCs w:val="24"/>
          <w:u w:val="single"/>
        </w:rPr>
      </w:pPr>
      <w:r w:rsidRPr="00D1201F">
        <w:rPr>
          <w:b/>
          <w:bCs/>
          <w:sz w:val="24"/>
          <w:szCs w:val="24"/>
        </w:rPr>
        <w:t>Pre-Filing Requirement:</w:t>
      </w:r>
      <w:r w:rsidRPr="00D1201F">
        <w:rPr>
          <w:sz w:val="24"/>
          <w:szCs w:val="24"/>
        </w:rPr>
        <w:t xml:space="preserve"> </w:t>
      </w:r>
      <w:r w:rsidR="00DD42DE">
        <w:rPr>
          <w:sz w:val="24"/>
          <w:szCs w:val="24"/>
        </w:rPr>
        <w:t>Counsel for the parties shall meet and confer</w:t>
      </w:r>
      <w:r w:rsidR="0031644F">
        <w:rPr>
          <w:sz w:val="24"/>
          <w:szCs w:val="24"/>
        </w:rPr>
        <w:t xml:space="preserve"> pursuant to Local Rule 7-3, which requires “counsel contemplating filing of any motion” to </w:t>
      </w:r>
      <w:r w:rsidR="0031644F" w:rsidRPr="00D1201F">
        <w:rPr>
          <w:sz w:val="24"/>
          <w:szCs w:val="24"/>
        </w:rPr>
        <w:t xml:space="preserve">“first contact opposing counsel to discuss thoroughly, </w:t>
      </w:r>
      <w:r w:rsidR="0031644F" w:rsidRPr="00942C51">
        <w:rPr>
          <w:sz w:val="24"/>
          <w:szCs w:val="24"/>
        </w:rPr>
        <w:t>preferably in person,</w:t>
      </w:r>
      <w:r w:rsidR="0031644F" w:rsidRPr="00D1201F">
        <w:rPr>
          <w:sz w:val="24"/>
          <w:szCs w:val="24"/>
        </w:rPr>
        <w:t xml:space="preserve"> the substance of the contemplated motion and any potential resolution.”</w:t>
      </w:r>
      <w:r w:rsidR="0031644F">
        <w:rPr>
          <w:sz w:val="24"/>
          <w:szCs w:val="24"/>
        </w:rPr>
        <w:t xml:space="preserve"> </w:t>
      </w:r>
      <w:r w:rsidR="00DD42DE">
        <w:rPr>
          <w:sz w:val="24"/>
          <w:szCs w:val="24"/>
        </w:rPr>
        <w:t xml:space="preserve"> </w:t>
      </w:r>
      <w:r w:rsidR="00F108A8">
        <w:rPr>
          <w:sz w:val="24"/>
          <w:szCs w:val="24"/>
        </w:rPr>
        <w:t xml:space="preserve">The parties must </w:t>
      </w:r>
      <w:r w:rsidR="00DD42DE">
        <w:rPr>
          <w:sz w:val="24"/>
          <w:szCs w:val="24"/>
        </w:rPr>
        <w:t xml:space="preserve">discuss in real-time </w:t>
      </w:r>
      <w:r w:rsidR="004A14B6">
        <w:rPr>
          <w:sz w:val="24"/>
          <w:szCs w:val="24"/>
        </w:rPr>
        <w:t xml:space="preserve">all issues to be raised in the motion, as well as the law and evidence relevant to </w:t>
      </w:r>
      <w:r w:rsidR="00680C28">
        <w:rPr>
          <w:sz w:val="24"/>
          <w:szCs w:val="24"/>
        </w:rPr>
        <w:t xml:space="preserve">those </w:t>
      </w:r>
      <w:r w:rsidR="004A14B6">
        <w:rPr>
          <w:sz w:val="24"/>
          <w:szCs w:val="24"/>
        </w:rPr>
        <w:t xml:space="preserve">issues, so that the parties’ briefing reflects that they are fully cognizant of the other side’s position(s). </w:t>
      </w:r>
      <w:r w:rsidRPr="00D1201F">
        <w:rPr>
          <w:sz w:val="24"/>
          <w:szCs w:val="24"/>
        </w:rPr>
        <w:t xml:space="preserve">Counsel should discuss the issues sufficiently </w:t>
      </w:r>
      <w:r>
        <w:rPr>
          <w:sz w:val="24"/>
          <w:szCs w:val="24"/>
        </w:rPr>
        <w:t xml:space="preserve">such </w:t>
      </w:r>
      <w:r w:rsidRPr="00D1201F">
        <w:rPr>
          <w:sz w:val="24"/>
          <w:szCs w:val="24"/>
        </w:rPr>
        <w:t xml:space="preserve">that if a motion is still necessary, the briefing may be directed to those substantive issues requiring resolution by the Court. Counsel should resolve minor procedural or other non-substantive matters during the conference. The </w:t>
      </w:r>
      <w:r>
        <w:rPr>
          <w:sz w:val="24"/>
          <w:szCs w:val="24"/>
        </w:rPr>
        <w:t>notice of motion</w:t>
      </w:r>
      <w:r w:rsidRPr="00D1201F">
        <w:rPr>
          <w:sz w:val="24"/>
          <w:szCs w:val="24"/>
        </w:rPr>
        <w:t xml:space="preserve"> or other request must include a statement of compliance with Local Rule 7-3. The </w:t>
      </w:r>
      <w:r>
        <w:rPr>
          <w:sz w:val="24"/>
          <w:szCs w:val="24"/>
        </w:rPr>
        <w:t>C</w:t>
      </w:r>
      <w:r w:rsidRPr="00D1201F">
        <w:rPr>
          <w:sz w:val="24"/>
          <w:szCs w:val="24"/>
        </w:rPr>
        <w:t>ourt may strike or outright deny a motion or other relief if counsel fail</w:t>
      </w:r>
      <w:r w:rsidR="00A67E11">
        <w:rPr>
          <w:sz w:val="24"/>
          <w:szCs w:val="24"/>
        </w:rPr>
        <w:t>s</w:t>
      </w:r>
      <w:r w:rsidRPr="00D1201F">
        <w:rPr>
          <w:sz w:val="24"/>
          <w:szCs w:val="24"/>
        </w:rPr>
        <w:t xml:space="preserve"> to meet and confer in good faith. </w:t>
      </w:r>
      <w:r w:rsidR="000731D1">
        <w:rPr>
          <w:sz w:val="24"/>
          <w:szCs w:val="24"/>
        </w:rPr>
        <w:t xml:space="preserve">Moreover, if the briefing reveals that the parties </w:t>
      </w:r>
      <w:r w:rsidR="00F93AC8">
        <w:rPr>
          <w:sz w:val="24"/>
          <w:szCs w:val="24"/>
        </w:rPr>
        <w:t>have not sufficiently conferred</w:t>
      </w:r>
      <w:r w:rsidR="000731D1">
        <w:rPr>
          <w:sz w:val="24"/>
          <w:szCs w:val="24"/>
        </w:rPr>
        <w:t xml:space="preserve"> with respect to the issues and position(s) presented, the motion shall be stricken.</w:t>
      </w:r>
    </w:p>
    <w:p w14:paraId="0C7E8996" w14:textId="1315C092" w:rsidR="006519D1" w:rsidRPr="001E027C" w:rsidRDefault="006519D1" w:rsidP="006519D1">
      <w:pPr>
        <w:numPr>
          <w:ilvl w:val="1"/>
          <w:numId w:val="26"/>
        </w:numPr>
        <w:ind w:left="0" w:firstLine="720"/>
        <w:rPr>
          <w:b/>
          <w:sz w:val="24"/>
          <w:szCs w:val="24"/>
        </w:rPr>
      </w:pPr>
      <w:r w:rsidRPr="00D5188E">
        <w:rPr>
          <w:b/>
          <w:bCs/>
          <w:sz w:val="24"/>
          <w:szCs w:val="24"/>
        </w:rPr>
        <w:t>Time for Filing and Hearing Motions:</w:t>
      </w:r>
      <w:r>
        <w:rPr>
          <w:b/>
          <w:bCs/>
          <w:sz w:val="24"/>
          <w:szCs w:val="24"/>
        </w:rPr>
        <w:t xml:space="preserve"> </w:t>
      </w:r>
      <w:r>
        <w:rPr>
          <w:sz w:val="24"/>
          <w:szCs w:val="24"/>
        </w:rPr>
        <w:t xml:space="preserve">Motions shall be filed in accordance with Local Rule 7. This Court hears </w:t>
      </w:r>
      <w:r w:rsidR="007151FA">
        <w:rPr>
          <w:sz w:val="24"/>
          <w:szCs w:val="24"/>
        </w:rPr>
        <w:t xml:space="preserve">civil </w:t>
      </w:r>
      <w:r>
        <w:rPr>
          <w:sz w:val="24"/>
          <w:szCs w:val="24"/>
        </w:rPr>
        <w:t xml:space="preserve">motions on </w:t>
      </w:r>
      <w:r>
        <w:rPr>
          <w:b/>
          <w:bCs/>
          <w:sz w:val="24"/>
          <w:szCs w:val="24"/>
        </w:rPr>
        <w:t>Thursdays, beginning at 10:00 a.m.</w:t>
      </w:r>
      <w:r w:rsidR="00DB0E69">
        <w:rPr>
          <w:rStyle w:val="FootnoteReference"/>
          <w:b/>
          <w:bCs/>
          <w:szCs w:val="24"/>
        </w:rPr>
        <w:footnoteReference w:id="5"/>
      </w:r>
      <w:r>
        <w:rPr>
          <w:sz w:val="24"/>
          <w:szCs w:val="24"/>
        </w:rPr>
        <w:t xml:space="preserve"> If Thursday is a national holiday, motions will be heard on the next Thursday. </w:t>
      </w:r>
      <w:r w:rsidR="002A0DA5">
        <w:rPr>
          <w:b/>
          <w:bCs/>
          <w:sz w:val="24"/>
          <w:szCs w:val="24"/>
        </w:rPr>
        <w:t>Closed motion dates</w:t>
      </w:r>
      <w:r w:rsidR="002A0DA5">
        <w:rPr>
          <w:sz w:val="24"/>
          <w:szCs w:val="24"/>
        </w:rPr>
        <w:t xml:space="preserve"> can be found on the right column of Judge Frimpong’s webpage, below the Daily Calendar.</w:t>
      </w:r>
      <w:r w:rsidR="002A0DA5">
        <w:rPr>
          <w:rStyle w:val="FootnoteReference"/>
          <w:sz w:val="24"/>
          <w:szCs w:val="24"/>
        </w:rPr>
        <w:footnoteReference w:id="6"/>
      </w:r>
      <w:r w:rsidR="002A0DA5">
        <w:rPr>
          <w:sz w:val="24"/>
          <w:szCs w:val="24"/>
        </w:rPr>
        <w:t xml:space="preserve"> </w:t>
      </w:r>
      <w:r>
        <w:rPr>
          <w:sz w:val="24"/>
          <w:szCs w:val="24"/>
        </w:rPr>
        <w:t xml:space="preserve">It is not necessary to clear a hearing date with Judge Frimpong’s Courtroom Deputy Clerk before filing a motion, </w:t>
      </w:r>
      <w:r w:rsidRPr="00D261BA">
        <w:rPr>
          <w:b/>
          <w:sz w:val="24"/>
        </w:rPr>
        <w:t>except for motions for summary judgment and preliminary injunction</w:t>
      </w:r>
      <w:r w:rsidRPr="008C18CB">
        <w:rPr>
          <w:sz w:val="24"/>
          <w:szCs w:val="24"/>
        </w:rPr>
        <w:t>. For these t</w:t>
      </w:r>
      <w:r>
        <w:rPr>
          <w:sz w:val="24"/>
          <w:szCs w:val="24"/>
        </w:rPr>
        <w:t xml:space="preserve">wo </w:t>
      </w:r>
      <w:r w:rsidRPr="008C18CB">
        <w:rPr>
          <w:sz w:val="24"/>
          <w:szCs w:val="24"/>
        </w:rPr>
        <w:t xml:space="preserve">motions, contact the </w:t>
      </w:r>
      <w:r>
        <w:rPr>
          <w:sz w:val="24"/>
          <w:szCs w:val="24"/>
        </w:rPr>
        <w:t>C</w:t>
      </w:r>
      <w:r w:rsidRPr="008C18CB">
        <w:rPr>
          <w:sz w:val="24"/>
          <w:szCs w:val="24"/>
        </w:rPr>
        <w:t xml:space="preserve">ourtroom </w:t>
      </w:r>
      <w:r>
        <w:rPr>
          <w:sz w:val="24"/>
          <w:szCs w:val="24"/>
        </w:rPr>
        <w:t>D</w:t>
      </w:r>
      <w:r w:rsidRPr="008C18CB">
        <w:rPr>
          <w:sz w:val="24"/>
          <w:szCs w:val="24"/>
        </w:rPr>
        <w:t xml:space="preserve">eputy </w:t>
      </w:r>
      <w:r>
        <w:rPr>
          <w:sz w:val="24"/>
          <w:szCs w:val="24"/>
        </w:rPr>
        <w:t>C</w:t>
      </w:r>
      <w:r w:rsidRPr="008C18CB">
        <w:rPr>
          <w:sz w:val="24"/>
          <w:szCs w:val="24"/>
        </w:rPr>
        <w:t xml:space="preserve">lerk </w:t>
      </w:r>
      <w:r>
        <w:rPr>
          <w:sz w:val="24"/>
          <w:szCs w:val="24"/>
        </w:rPr>
        <w:t>via</w:t>
      </w:r>
      <w:r w:rsidRPr="00D1201F">
        <w:rPr>
          <w:sz w:val="24"/>
          <w:szCs w:val="24"/>
        </w:rPr>
        <w:t xml:space="preserve"> the </w:t>
      </w:r>
      <w:r>
        <w:rPr>
          <w:sz w:val="24"/>
          <w:szCs w:val="24"/>
        </w:rPr>
        <w:t>C</w:t>
      </w:r>
      <w:r w:rsidRPr="00D1201F">
        <w:rPr>
          <w:sz w:val="24"/>
          <w:szCs w:val="24"/>
        </w:rPr>
        <w:t>ourt’s chambers email address</w:t>
      </w:r>
      <w:r>
        <w:rPr>
          <w:sz w:val="24"/>
          <w:szCs w:val="24"/>
        </w:rPr>
        <w:t xml:space="preserve"> at</w:t>
      </w:r>
      <w:r w:rsidRPr="008C18CB">
        <w:rPr>
          <w:sz w:val="24"/>
          <w:szCs w:val="24"/>
        </w:rPr>
        <w:t xml:space="preserve"> MEMF_Chambers@cacd.uscourts.gov to </w:t>
      </w:r>
      <w:r>
        <w:rPr>
          <w:sz w:val="24"/>
          <w:szCs w:val="24"/>
        </w:rPr>
        <w:t>reserv</w:t>
      </w:r>
      <w:r w:rsidRPr="008C18CB">
        <w:rPr>
          <w:sz w:val="24"/>
          <w:szCs w:val="24"/>
        </w:rPr>
        <w:t>e</w:t>
      </w:r>
      <w:r>
        <w:rPr>
          <w:sz w:val="24"/>
          <w:szCs w:val="24"/>
        </w:rPr>
        <w:t xml:space="preserve"> a hearing date</w:t>
      </w:r>
      <w:r w:rsidRPr="008C18CB">
        <w:rPr>
          <w:sz w:val="24"/>
          <w:szCs w:val="24"/>
        </w:rPr>
        <w:t>.</w:t>
      </w:r>
      <w:r>
        <w:rPr>
          <w:sz w:val="24"/>
          <w:szCs w:val="24"/>
        </w:rPr>
        <w:t xml:space="preserve"> </w:t>
      </w:r>
      <w:r w:rsidR="00D12783">
        <w:rPr>
          <w:sz w:val="24"/>
          <w:szCs w:val="24"/>
        </w:rPr>
        <w:t>Moreover, all Motions must be filed in accordance with the following modified briefing schedule</w:t>
      </w:r>
      <w:r w:rsidR="00EF39AD">
        <w:rPr>
          <w:sz w:val="24"/>
          <w:szCs w:val="24"/>
        </w:rPr>
        <w:t xml:space="preserve">, </w:t>
      </w:r>
      <w:r w:rsidR="00EF39AD" w:rsidRPr="00E52F6F">
        <w:rPr>
          <w:b/>
          <w:bCs/>
          <w:sz w:val="24"/>
          <w:szCs w:val="24"/>
        </w:rPr>
        <w:t>which differs from the timing of the Local Rules</w:t>
      </w:r>
      <w:r w:rsidR="00D12783">
        <w:rPr>
          <w:sz w:val="24"/>
          <w:szCs w:val="24"/>
        </w:rPr>
        <w:t xml:space="preserve">: </w:t>
      </w:r>
    </w:p>
    <w:p w14:paraId="1A868EBE" w14:textId="1760A07E" w:rsidR="00D12783" w:rsidRPr="001E027C" w:rsidRDefault="00DE07D8" w:rsidP="00DE07D8">
      <w:pPr>
        <w:pStyle w:val="ListParagraph"/>
        <w:numPr>
          <w:ilvl w:val="0"/>
          <w:numId w:val="38"/>
        </w:numPr>
        <w:rPr>
          <w:b/>
          <w:sz w:val="24"/>
          <w:szCs w:val="24"/>
        </w:rPr>
      </w:pPr>
      <w:r>
        <w:rPr>
          <w:sz w:val="24"/>
          <w:szCs w:val="24"/>
        </w:rPr>
        <w:lastRenderedPageBreak/>
        <w:t xml:space="preserve">Motion: Must be filed no later than forty-two (42) days prior to the hearing </w:t>
      </w:r>
      <w:r w:rsidR="00E52F6F">
        <w:rPr>
          <w:sz w:val="24"/>
          <w:szCs w:val="24"/>
        </w:rPr>
        <w:t xml:space="preserve">date </w:t>
      </w:r>
      <w:r>
        <w:rPr>
          <w:sz w:val="24"/>
          <w:szCs w:val="24"/>
        </w:rPr>
        <w:t>on the Motion</w:t>
      </w:r>
      <w:r w:rsidR="00E52F6F">
        <w:rPr>
          <w:sz w:val="24"/>
          <w:szCs w:val="24"/>
        </w:rPr>
        <w:t>;</w:t>
      </w:r>
    </w:p>
    <w:p w14:paraId="09A584BF" w14:textId="476EBE38" w:rsidR="007825C2" w:rsidRPr="001E027C" w:rsidRDefault="007825C2" w:rsidP="00DE07D8">
      <w:pPr>
        <w:pStyle w:val="ListParagraph"/>
        <w:numPr>
          <w:ilvl w:val="0"/>
          <w:numId w:val="38"/>
        </w:numPr>
        <w:rPr>
          <w:b/>
          <w:sz w:val="24"/>
          <w:szCs w:val="24"/>
        </w:rPr>
      </w:pPr>
      <w:r>
        <w:rPr>
          <w:sz w:val="24"/>
          <w:szCs w:val="24"/>
        </w:rPr>
        <w:t>Opposition: Must be filed no later than fourteen (14) days after the filing of the</w:t>
      </w:r>
      <w:r w:rsidR="00E52F6F">
        <w:rPr>
          <w:sz w:val="24"/>
          <w:szCs w:val="24"/>
        </w:rPr>
        <w:t xml:space="preserve"> initial </w:t>
      </w:r>
      <w:r>
        <w:rPr>
          <w:sz w:val="24"/>
          <w:szCs w:val="24"/>
        </w:rPr>
        <w:t>Motion</w:t>
      </w:r>
      <w:r w:rsidR="00E52F6F">
        <w:rPr>
          <w:sz w:val="24"/>
          <w:szCs w:val="24"/>
        </w:rPr>
        <w:t>;</w:t>
      </w:r>
    </w:p>
    <w:p w14:paraId="2A413157" w14:textId="77777777" w:rsidR="00F4491B" w:rsidRPr="0018623F" w:rsidRDefault="007825C2" w:rsidP="001E027C">
      <w:pPr>
        <w:pStyle w:val="ListParagraph"/>
        <w:numPr>
          <w:ilvl w:val="0"/>
          <w:numId w:val="38"/>
        </w:numPr>
        <w:rPr>
          <w:b/>
          <w:sz w:val="24"/>
          <w:szCs w:val="24"/>
        </w:rPr>
      </w:pPr>
      <w:r>
        <w:rPr>
          <w:sz w:val="24"/>
          <w:szCs w:val="24"/>
        </w:rPr>
        <w:t>Reply: Must be filed no later than seven (7) days after the Opposition</w:t>
      </w:r>
      <w:r w:rsidR="00E52F6F">
        <w:rPr>
          <w:sz w:val="24"/>
          <w:szCs w:val="24"/>
        </w:rPr>
        <w:t>.</w:t>
      </w:r>
    </w:p>
    <w:p w14:paraId="0226849C" w14:textId="2F3A25F9" w:rsidR="007825C2" w:rsidRPr="0018623F" w:rsidRDefault="007825C2" w:rsidP="00F4491B">
      <w:pPr>
        <w:rPr>
          <w:b/>
          <w:sz w:val="24"/>
          <w:szCs w:val="24"/>
        </w:rPr>
      </w:pPr>
      <w:r w:rsidRPr="0018623F">
        <w:rPr>
          <w:sz w:val="24"/>
          <w:szCs w:val="24"/>
        </w:rPr>
        <w:t xml:space="preserve"> </w:t>
      </w:r>
      <w:r w:rsidR="00F4491B">
        <w:rPr>
          <w:sz w:val="24"/>
          <w:szCs w:val="24"/>
        </w:rPr>
        <w:tab/>
        <w:t xml:space="preserve">If </w:t>
      </w:r>
      <w:r w:rsidR="008E1BFE">
        <w:rPr>
          <w:sz w:val="24"/>
          <w:szCs w:val="24"/>
        </w:rPr>
        <w:t xml:space="preserve">at any time </w:t>
      </w:r>
      <w:r w:rsidR="00F4491B">
        <w:rPr>
          <w:sz w:val="24"/>
          <w:szCs w:val="24"/>
        </w:rPr>
        <w:t xml:space="preserve">the hearing date on a motion is continued, </w:t>
      </w:r>
      <w:r w:rsidR="00CB4A41">
        <w:rPr>
          <w:sz w:val="24"/>
          <w:szCs w:val="24"/>
        </w:rPr>
        <w:t>there is no change to the default briefing schedule set forth above.</w:t>
      </w:r>
    </w:p>
    <w:p w14:paraId="227636A3" w14:textId="5801F2BF" w:rsidR="006519D1" w:rsidRPr="00EA6918" w:rsidRDefault="006519D1" w:rsidP="00EA6918">
      <w:pPr>
        <w:numPr>
          <w:ilvl w:val="1"/>
          <w:numId w:val="26"/>
        </w:numPr>
        <w:ind w:left="0" w:firstLine="720"/>
        <w:rPr>
          <w:b/>
          <w:bCs/>
          <w:sz w:val="24"/>
          <w:szCs w:val="24"/>
          <w:u w:val="single"/>
        </w:rPr>
      </w:pPr>
      <w:r w:rsidRPr="00D1201F">
        <w:rPr>
          <w:b/>
          <w:bCs/>
          <w:sz w:val="24"/>
          <w:szCs w:val="24"/>
        </w:rPr>
        <w:t>Length and Format of Motion Papers:</w:t>
      </w:r>
      <w:r w:rsidRPr="00D1201F">
        <w:rPr>
          <w:sz w:val="24"/>
          <w:szCs w:val="24"/>
        </w:rPr>
        <w:t xml:space="preserve"> </w:t>
      </w:r>
      <w:proofErr w:type="gramStart"/>
      <w:r w:rsidR="00324EF2">
        <w:rPr>
          <w:sz w:val="24"/>
          <w:szCs w:val="24"/>
        </w:rPr>
        <w:t>With the exception of</w:t>
      </w:r>
      <w:proofErr w:type="gramEnd"/>
      <w:r w:rsidR="00324EF2">
        <w:rPr>
          <w:sz w:val="24"/>
          <w:szCs w:val="24"/>
        </w:rPr>
        <w:t xml:space="preserve"> Rule 56</w:t>
      </w:r>
      <w:r w:rsidR="0039799D">
        <w:rPr>
          <w:sz w:val="24"/>
          <w:szCs w:val="24"/>
        </w:rPr>
        <w:t xml:space="preserve"> </w:t>
      </w:r>
      <w:r w:rsidR="00324EF2">
        <w:rPr>
          <w:sz w:val="24"/>
          <w:szCs w:val="24"/>
        </w:rPr>
        <w:t>Motions</w:t>
      </w:r>
      <w:r w:rsidR="0039799D">
        <w:rPr>
          <w:sz w:val="24"/>
          <w:szCs w:val="24"/>
        </w:rPr>
        <w:t xml:space="preserve"> which have specific requirements as set forth in Section IX.D</w:t>
      </w:r>
      <w:r w:rsidR="00324EF2">
        <w:rPr>
          <w:sz w:val="24"/>
          <w:szCs w:val="24"/>
        </w:rPr>
        <w:t>, a</w:t>
      </w:r>
      <w:r w:rsidR="004236BB">
        <w:rPr>
          <w:sz w:val="24"/>
          <w:szCs w:val="24"/>
        </w:rPr>
        <w:t>bsent leave of Court,</w:t>
      </w:r>
      <w:r w:rsidRPr="00D1201F">
        <w:rPr>
          <w:sz w:val="24"/>
          <w:szCs w:val="24"/>
        </w:rPr>
        <w:t xml:space="preserve"> Memoranda of Points and Authorities in support of or in opposition to motions </w:t>
      </w:r>
      <w:r w:rsidR="004236BB">
        <w:rPr>
          <w:sz w:val="24"/>
          <w:szCs w:val="24"/>
        </w:rPr>
        <w:t xml:space="preserve">must comply with the limitations set forth by </w:t>
      </w:r>
      <w:r w:rsidR="004236BB" w:rsidRPr="00D1201F">
        <w:rPr>
          <w:sz w:val="24"/>
          <w:szCs w:val="24"/>
        </w:rPr>
        <w:t xml:space="preserve">Local </w:t>
      </w:r>
      <w:r w:rsidR="004236BB">
        <w:rPr>
          <w:sz w:val="24"/>
          <w:szCs w:val="24"/>
        </w:rPr>
        <w:t>R</w:t>
      </w:r>
      <w:r w:rsidR="004236BB" w:rsidRPr="00D1201F">
        <w:rPr>
          <w:sz w:val="24"/>
          <w:szCs w:val="24"/>
        </w:rPr>
        <w:t>ule 11-6</w:t>
      </w:r>
      <w:r w:rsidRPr="00D1201F">
        <w:rPr>
          <w:sz w:val="24"/>
          <w:szCs w:val="24"/>
        </w:rPr>
        <w:t xml:space="preserve">. Only in rare instances and for good cause shown will the Court grant an application to extend these limitations. </w:t>
      </w:r>
      <w:r w:rsidRPr="00EA6918">
        <w:rPr>
          <w:sz w:val="24"/>
          <w:szCs w:val="24"/>
        </w:rPr>
        <w:t xml:space="preserve">Pursuant to Local Rule 11-8, all Memoranda of Points and Authorities exceeding ten (10) pages must be accompanied by a Table of Authorities and a Table of Contents. </w:t>
      </w:r>
      <w:r w:rsidR="00424BCD">
        <w:rPr>
          <w:sz w:val="24"/>
          <w:szCs w:val="24"/>
        </w:rPr>
        <w:t xml:space="preserve">All briefing must use </w:t>
      </w:r>
      <w:r w:rsidRPr="00EA6918">
        <w:rPr>
          <w:sz w:val="24"/>
          <w:szCs w:val="24"/>
        </w:rPr>
        <w:t>Times New Roman font</w:t>
      </w:r>
      <w:r w:rsidR="00424BCD">
        <w:rPr>
          <w:sz w:val="24"/>
          <w:szCs w:val="24"/>
        </w:rPr>
        <w:t>. Text</w:t>
      </w:r>
      <w:r w:rsidRPr="00EA6918">
        <w:rPr>
          <w:sz w:val="24"/>
          <w:szCs w:val="24"/>
        </w:rPr>
        <w:t xml:space="preserve"> must be no less than twelve (12) point font</w:t>
      </w:r>
      <w:r w:rsidR="00424BCD">
        <w:rPr>
          <w:sz w:val="24"/>
          <w:szCs w:val="24"/>
        </w:rPr>
        <w:t>;</w:t>
      </w:r>
      <w:r w:rsidR="00424BCD" w:rsidRPr="00EA6918" w:rsidDel="00424BCD">
        <w:rPr>
          <w:sz w:val="24"/>
          <w:szCs w:val="24"/>
        </w:rPr>
        <w:t xml:space="preserve"> </w:t>
      </w:r>
      <w:r w:rsidR="00424BCD">
        <w:rPr>
          <w:sz w:val="24"/>
          <w:szCs w:val="24"/>
        </w:rPr>
        <w:t>fo</w:t>
      </w:r>
      <w:r w:rsidRPr="00EA6918">
        <w:rPr>
          <w:sz w:val="24"/>
          <w:szCs w:val="24"/>
        </w:rPr>
        <w:t>otnotes shall be no less than ten (10) point font.</w:t>
      </w:r>
    </w:p>
    <w:p w14:paraId="2C1ACEE0" w14:textId="151137DF" w:rsidR="006519D1" w:rsidRPr="00D1201F" w:rsidRDefault="006519D1" w:rsidP="001E027C">
      <w:pPr>
        <w:ind w:firstLine="720"/>
        <w:rPr>
          <w:sz w:val="24"/>
          <w:szCs w:val="24"/>
        </w:rPr>
      </w:pPr>
      <w:r w:rsidRPr="00D1201F">
        <w:rPr>
          <w:sz w:val="24"/>
          <w:szCs w:val="24"/>
        </w:rPr>
        <w:t>Counsel shall adhere to Local Rule 5-4.3 with respect to the conversion of all documents to .pdf</w:t>
      </w:r>
      <w:r w:rsidR="000D56BB">
        <w:rPr>
          <w:sz w:val="24"/>
          <w:szCs w:val="24"/>
        </w:rPr>
        <w:t xml:space="preserve"> format</w:t>
      </w:r>
      <w:r w:rsidRPr="00D1201F">
        <w:rPr>
          <w:sz w:val="24"/>
          <w:szCs w:val="24"/>
        </w:rPr>
        <w:t xml:space="preserve"> so that when a document is e</w:t>
      </w:r>
      <w:r w:rsidR="00404CDD">
        <w:rPr>
          <w:sz w:val="24"/>
          <w:szCs w:val="24"/>
        </w:rPr>
        <w:t>lectronically filed</w:t>
      </w:r>
      <w:r w:rsidRPr="00D1201F">
        <w:rPr>
          <w:sz w:val="24"/>
          <w:szCs w:val="24"/>
        </w:rPr>
        <w:t xml:space="preserve">, it is in proper size and is .pdf searchable. Further, all documents shall be filed in a format so that text can be selected, copied, and pasted directly from the document. </w:t>
      </w:r>
      <w:r w:rsidRPr="00D1201F">
        <w:rPr>
          <w:i/>
          <w:iCs/>
          <w:sz w:val="24"/>
          <w:szCs w:val="24"/>
        </w:rPr>
        <w:t xml:space="preserve">See </w:t>
      </w:r>
      <w:r w:rsidRPr="00D1201F">
        <w:rPr>
          <w:sz w:val="24"/>
          <w:szCs w:val="24"/>
        </w:rPr>
        <w:t>Local Rule 5-4.3.1.</w:t>
      </w:r>
      <w:r w:rsidR="00574CF5">
        <w:rPr>
          <w:sz w:val="24"/>
          <w:szCs w:val="24"/>
        </w:rPr>
        <w:t xml:space="preserve"> If exhibits are submitted as attachments, each exhibit must be filed as a standalone </w:t>
      </w:r>
      <w:r w:rsidR="00335CF0">
        <w:rPr>
          <w:sz w:val="24"/>
          <w:szCs w:val="24"/>
        </w:rPr>
        <w:t>document rather than as a consolidated document.</w:t>
      </w:r>
    </w:p>
    <w:p w14:paraId="1B7F420A" w14:textId="5A0F56DC" w:rsidR="006519D1" w:rsidRPr="000D636D" w:rsidRDefault="006519D1" w:rsidP="006519D1">
      <w:pPr>
        <w:numPr>
          <w:ilvl w:val="1"/>
          <w:numId w:val="26"/>
        </w:numPr>
        <w:ind w:left="0" w:firstLine="720"/>
        <w:rPr>
          <w:b/>
          <w:bCs/>
          <w:sz w:val="24"/>
          <w:szCs w:val="24"/>
          <w:u w:val="single"/>
        </w:rPr>
      </w:pPr>
      <w:r w:rsidRPr="00D1201F">
        <w:rPr>
          <w:b/>
          <w:bCs/>
          <w:sz w:val="24"/>
          <w:szCs w:val="24"/>
        </w:rPr>
        <w:t>Citations to Case Law:</w:t>
      </w:r>
      <w:r w:rsidRPr="00D1201F">
        <w:rPr>
          <w:sz w:val="24"/>
          <w:szCs w:val="24"/>
        </w:rPr>
        <w:t xml:space="preserve"> Citations to case law must identify the case cited</w:t>
      </w:r>
      <w:r w:rsidR="00EA6918">
        <w:rPr>
          <w:sz w:val="24"/>
          <w:szCs w:val="24"/>
        </w:rPr>
        <w:t xml:space="preserve"> and </w:t>
      </w:r>
      <w:r w:rsidRPr="00D1201F">
        <w:rPr>
          <w:sz w:val="24"/>
          <w:szCs w:val="24"/>
        </w:rPr>
        <w:t>the specific page referenced. For example, if a quotation is presented, the associated page citation shall be provided. Similarly, if a case is cited in support of a proposition based on language in the opinion, the page on which such language appears shall be provided. Bluebook style is required.</w:t>
      </w:r>
    </w:p>
    <w:p w14:paraId="7C154B3A" w14:textId="77777777" w:rsidR="006519D1" w:rsidRPr="00D1201F" w:rsidRDefault="006519D1" w:rsidP="006519D1">
      <w:pPr>
        <w:numPr>
          <w:ilvl w:val="1"/>
          <w:numId w:val="26"/>
        </w:numPr>
        <w:ind w:left="0" w:firstLine="720"/>
        <w:rPr>
          <w:b/>
          <w:bCs/>
          <w:sz w:val="24"/>
          <w:szCs w:val="24"/>
          <w:u w:val="single"/>
        </w:rPr>
      </w:pPr>
      <w:r w:rsidRPr="00D1201F">
        <w:rPr>
          <w:b/>
          <w:bCs/>
          <w:sz w:val="24"/>
          <w:szCs w:val="24"/>
        </w:rPr>
        <w:t>Citations to Other Sources:</w:t>
      </w:r>
      <w:r w:rsidRPr="00D1201F">
        <w:rPr>
          <w:sz w:val="24"/>
          <w:szCs w:val="24"/>
        </w:rPr>
        <w:t xml:space="preserve"> Statutory references must identify with specificity the sections and subsections referenced. Citations to treatises, manuals, and other materials should include the volume, section, and pages being referenced. Citations to prior filings in the same action shall include the docket entry number, section, and pages referenced. Bluebook style is required.</w:t>
      </w:r>
    </w:p>
    <w:p w14:paraId="1194D036" w14:textId="55418BE5" w:rsidR="00FA3521" w:rsidRPr="00424BCD" w:rsidRDefault="006519D1" w:rsidP="00FA3521">
      <w:pPr>
        <w:numPr>
          <w:ilvl w:val="1"/>
          <w:numId w:val="26"/>
        </w:numPr>
        <w:ind w:left="0" w:firstLine="720"/>
        <w:rPr>
          <w:b/>
          <w:bCs/>
          <w:sz w:val="24"/>
          <w:szCs w:val="24"/>
          <w:u w:val="single"/>
        </w:rPr>
      </w:pPr>
      <w:r w:rsidRPr="00D1201F">
        <w:rPr>
          <w:b/>
          <w:bCs/>
          <w:sz w:val="24"/>
          <w:szCs w:val="24"/>
        </w:rPr>
        <w:lastRenderedPageBreak/>
        <w:t>Oral Argument:</w:t>
      </w:r>
      <w:r w:rsidRPr="00D1201F">
        <w:rPr>
          <w:sz w:val="24"/>
          <w:szCs w:val="24"/>
        </w:rPr>
        <w:t xml:space="preserve"> </w:t>
      </w:r>
      <w:r w:rsidR="00BD5C8D">
        <w:rPr>
          <w:sz w:val="24"/>
          <w:szCs w:val="24"/>
        </w:rPr>
        <w:t>Per the Court’s website, “Request</w:t>
      </w:r>
      <w:r w:rsidR="000D1B3B">
        <w:rPr>
          <w:sz w:val="24"/>
          <w:szCs w:val="24"/>
        </w:rPr>
        <w:t>s</w:t>
      </w:r>
      <w:r w:rsidR="00BD5C8D">
        <w:rPr>
          <w:sz w:val="24"/>
          <w:szCs w:val="24"/>
        </w:rPr>
        <w:t xml:space="preserve"> for a remote Zoom appearance must be e-filed by the Friday before the hearing and must indicate that counsel has met and conferred with opposing counsel consistent with Local Rule 7-3.” </w:t>
      </w:r>
      <w:r w:rsidRPr="00D1201F">
        <w:rPr>
          <w:sz w:val="24"/>
          <w:szCs w:val="24"/>
        </w:rPr>
        <w:t xml:space="preserve">If the </w:t>
      </w:r>
      <w:r>
        <w:rPr>
          <w:sz w:val="24"/>
          <w:szCs w:val="24"/>
        </w:rPr>
        <w:t>C</w:t>
      </w:r>
      <w:r w:rsidRPr="00D1201F">
        <w:rPr>
          <w:sz w:val="24"/>
          <w:szCs w:val="24"/>
        </w:rPr>
        <w:t xml:space="preserve">ourt deems a matter appropriate for decision without oral argument, the </w:t>
      </w:r>
      <w:r>
        <w:rPr>
          <w:sz w:val="24"/>
          <w:szCs w:val="24"/>
        </w:rPr>
        <w:t>C</w:t>
      </w:r>
      <w:r w:rsidRPr="00D1201F">
        <w:rPr>
          <w:sz w:val="24"/>
          <w:szCs w:val="24"/>
        </w:rPr>
        <w:t>ourt will take the matter under submission and notify the parties before the hearing.</w:t>
      </w:r>
    </w:p>
    <w:p w14:paraId="4338EBE8" w14:textId="77777777" w:rsidR="006519D1" w:rsidRPr="00D1201F" w:rsidRDefault="006519D1" w:rsidP="006519D1">
      <w:pPr>
        <w:numPr>
          <w:ilvl w:val="0"/>
          <w:numId w:val="26"/>
        </w:numPr>
        <w:rPr>
          <w:b/>
          <w:bCs/>
          <w:sz w:val="24"/>
          <w:szCs w:val="24"/>
          <w:u w:val="single"/>
        </w:rPr>
      </w:pPr>
      <w:r w:rsidRPr="00D1201F">
        <w:rPr>
          <w:b/>
          <w:bCs/>
          <w:sz w:val="24"/>
          <w:szCs w:val="24"/>
          <w:u w:val="single"/>
        </w:rPr>
        <w:t>Motions – Specific Requirements</w:t>
      </w:r>
    </w:p>
    <w:p w14:paraId="79BEEEA8" w14:textId="5944BA48" w:rsidR="006519D1" w:rsidRPr="00D1201F" w:rsidRDefault="006519D1" w:rsidP="006519D1">
      <w:pPr>
        <w:numPr>
          <w:ilvl w:val="1"/>
          <w:numId w:val="26"/>
        </w:numPr>
        <w:ind w:left="0" w:firstLine="720"/>
        <w:rPr>
          <w:b/>
          <w:bCs/>
          <w:sz w:val="24"/>
          <w:szCs w:val="24"/>
          <w:u w:val="single"/>
        </w:rPr>
      </w:pPr>
      <w:r w:rsidRPr="00D1201F">
        <w:rPr>
          <w:b/>
          <w:bCs/>
          <w:sz w:val="24"/>
          <w:szCs w:val="24"/>
        </w:rPr>
        <w:t xml:space="preserve">Motions Pursuant to </w:t>
      </w:r>
      <w:r>
        <w:rPr>
          <w:b/>
          <w:bCs/>
          <w:sz w:val="24"/>
          <w:szCs w:val="24"/>
        </w:rPr>
        <w:t>Federal Rule of Civil</w:t>
      </w:r>
      <w:r w:rsidRPr="00DB2033">
        <w:rPr>
          <w:b/>
          <w:bCs/>
          <w:sz w:val="24"/>
          <w:szCs w:val="24"/>
        </w:rPr>
        <w:t xml:space="preserve"> P</w:t>
      </w:r>
      <w:r>
        <w:rPr>
          <w:b/>
          <w:bCs/>
          <w:sz w:val="24"/>
          <w:szCs w:val="24"/>
        </w:rPr>
        <w:t>rocedure</w:t>
      </w:r>
      <w:r w:rsidRPr="00D1201F">
        <w:rPr>
          <w:b/>
          <w:bCs/>
          <w:smallCaps/>
          <w:sz w:val="24"/>
          <w:szCs w:val="24"/>
        </w:rPr>
        <w:t xml:space="preserve"> 12</w:t>
      </w:r>
      <w:r w:rsidRPr="00D1201F">
        <w:rPr>
          <w:b/>
          <w:bCs/>
          <w:sz w:val="24"/>
          <w:szCs w:val="24"/>
        </w:rPr>
        <w:t>:</w:t>
      </w:r>
      <w:r w:rsidRPr="003F5AD3">
        <w:rPr>
          <w:sz w:val="24"/>
          <w:szCs w:val="24"/>
        </w:rPr>
        <w:t xml:space="preserve"> </w:t>
      </w:r>
      <w:r w:rsidRPr="00D1201F">
        <w:rPr>
          <w:sz w:val="24"/>
          <w:szCs w:val="24"/>
        </w:rPr>
        <w:t xml:space="preserve">Many motions to dismiss or strike can be avoided if the parties confer in good faith as required by Local Rule 7-3, especially for perceived defects in a complaint, answer, or counterclaim that can be corrected by amendment. </w:t>
      </w:r>
      <w:r w:rsidRPr="00D1201F">
        <w:rPr>
          <w:i/>
          <w:iCs/>
          <w:sz w:val="24"/>
          <w:szCs w:val="24"/>
        </w:rPr>
        <w:t>See</w:t>
      </w:r>
      <w:r>
        <w:t xml:space="preserve"> </w:t>
      </w:r>
      <w:r>
        <w:rPr>
          <w:i/>
          <w:iCs/>
          <w:sz w:val="24"/>
          <w:szCs w:val="24"/>
        </w:rPr>
        <w:t>Polich v. Burlington Northern, Inc.</w:t>
      </w:r>
      <w:r>
        <w:rPr>
          <w:sz w:val="24"/>
          <w:szCs w:val="24"/>
        </w:rPr>
        <w:t>, 942 F.2d 1467, 147</w:t>
      </w:r>
      <w:r w:rsidR="00B53D91">
        <w:rPr>
          <w:sz w:val="24"/>
          <w:szCs w:val="24"/>
        </w:rPr>
        <w:t>2</w:t>
      </w:r>
      <w:r>
        <w:rPr>
          <w:sz w:val="24"/>
          <w:szCs w:val="24"/>
        </w:rPr>
        <w:t xml:space="preserve"> (9th Cir. 1991) (noting that </w:t>
      </w:r>
      <w:r w:rsidRPr="00D1201F">
        <w:rPr>
          <w:sz w:val="24"/>
          <w:szCs w:val="24"/>
        </w:rPr>
        <w:t xml:space="preserve">where a motion to dismiss is granted, a district court should grant leave to amend unless it is clear the complaint cannot be saved by amendment). Moreover, a party has the right to amend the complaint “once as a matter of course at any time before a responsive </w:t>
      </w:r>
      <w:r w:rsidRPr="003D4227">
        <w:rPr>
          <w:sz w:val="24"/>
          <w:szCs w:val="24"/>
        </w:rPr>
        <w:t>pleading is served.” Fed. R. Civ. P. 15(a). Even after a complaint has been amended or a responsive pleading has been served, the Federal Rules of Civil Procedure provide that leave to amend should be “freely given when justice so requires.” Fed. R. Civ. P. 15(a).</w:t>
      </w:r>
      <w:r w:rsidRPr="00D1201F">
        <w:rPr>
          <w:sz w:val="24"/>
          <w:szCs w:val="24"/>
        </w:rPr>
        <w:t xml:space="preserve"> Indeed, the Ninth Circuit requires that this policy favoring amendment be applied with “extreme liberality.” </w:t>
      </w:r>
      <w:r w:rsidRPr="00D1201F">
        <w:rPr>
          <w:i/>
          <w:iCs/>
          <w:sz w:val="24"/>
          <w:szCs w:val="24"/>
        </w:rPr>
        <w:t>Morongo Band of Mission Indians v. Rose</w:t>
      </w:r>
      <w:r w:rsidRPr="00D1201F">
        <w:rPr>
          <w:sz w:val="24"/>
          <w:szCs w:val="24"/>
        </w:rPr>
        <w:t>, 893 F.2d 1074, 1079 (9th Cir. 1990).</w:t>
      </w:r>
    </w:p>
    <w:p w14:paraId="2CD698E5" w14:textId="46A71CAA" w:rsidR="006519D1" w:rsidRPr="00D1201F" w:rsidRDefault="006519D1" w:rsidP="001E027C">
      <w:pPr>
        <w:ind w:firstLine="720"/>
        <w:rPr>
          <w:sz w:val="24"/>
          <w:szCs w:val="24"/>
        </w:rPr>
      </w:pPr>
      <w:r w:rsidRPr="00D1201F">
        <w:rPr>
          <w:sz w:val="24"/>
          <w:szCs w:val="24"/>
        </w:rPr>
        <w:t xml:space="preserve">Consequently, parties should carefully consider and weigh an opponent’s contentions as to the deficiencies in a pleading. </w:t>
      </w:r>
      <w:r>
        <w:rPr>
          <w:sz w:val="24"/>
          <w:szCs w:val="24"/>
        </w:rPr>
        <w:t>The Court expects that</w:t>
      </w:r>
      <w:r w:rsidR="00174B66">
        <w:rPr>
          <w:sz w:val="24"/>
          <w:szCs w:val="24"/>
        </w:rPr>
        <w:t>,</w:t>
      </w:r>
      <w:r>
        <w:rPr>
          <w:sz w:val="24"/>
          <w:szCs w:val="24"/>
        </w:rPr>
        <w:t xml:space="preserve"> i</w:t>
      </w:r>
      <w:r w:rsidRPr="00D1201F">
        <w:rPr>
          <w:sz w:val="24"/>
          <w:szCs w:val="24"/>
        </w:rPr>
        <w:t xml:space="preserve">n most instances, the parties </w:t>
      </w:r>
      <w:r>
        <w:rPr>
          <w:sz w:val="24"/>
          <w:szCs w:val="24"/>
        </w:rPr>
        <w:t>will</w:t>
      </w:r>
      <w:r w:rsidRPr="00D1201F">
        <w:rPr>
          <w:sz w:val="24"/>
          <w:szCs w:val="24"/>
        </w:rPr>
        <w:t xml:space="preserve"> agree to any amendment that would cure the defect.</w:t>
      </w:r>
    </w:p>
    <w:p w14:paraId="3FB45864" w14:textId="0CAFCFC3" w:rsidR="006519D1" w:rsidRPr="00D1201F" w:rsidRDefault="006519D1" w:rsidP="006519D1">
      <w:pPr>
        <w:numPr>
          <w:ilvl w:val="1"/>
          <w:numId w:val="26"/>
        </w:numPr>
        <w:ind w:left="0" w:firstLine="720"/>
        <w:rPr>
          <w:b/>
          <w:bCs/>
          <w:sz w:val="24"/>
          <w:szCs w:val="24"/>
          <w:u w:val="single"/>
        </w:rPr>
      </w:pPr>
      <w:r w:rsidRPr="00D1201F">
        <w:rPr>
          <w:b/>
          <w:bCs/>
          <w:sz w:val="24"/>
          <w:szCs w:val="24"/>
        </w:rPr>
        <w:t xml:space="preserve">Motions to Amend: </w:t>
      </w:r>
      <w:r w:rsidRPr="00D1201F">
        <w:rPr>
          <w:sz w:val="24"/>
          <w:szCs w:val="24"/>
        </w:rPr>
        <w:t>In addition to the requirements of Local Rule 15-1, all motions to amend pleadings shall: (1) state the effect of the amendment; (2) be serially numbered to differentiate the amendment from previous amendments; and (3) identify the pages</w:t>
      </w:r>
      <w:r w:rsidR="00F4761B">
        <w:rPr>
          <w:sz w:val="24"/>
          <w:szCs w:val="24"/>
        </w:rPr>
        <w:t xml:space="preserve">, </w:t>
      </w:r>
      <w:r w:rsidRPr="00D1201F">
        <w:rPr>
          <w:sz w:val="24"/>
          <w:szCs w:val="24"/>
        </w:rPr>
        <w:t>line numbers, and wording of any proposed change or addition of material.</w:t>
      </w:r>
    </w:p>
    <w:p w14:paraId="04AFCDF2" w14:textId="26C0797C" w:rsidR="006519D1" w:rsidRPr="00D1201F" w:rsidRDefault="006519D1" w:rsidP="001E027C">
      <w:pPr>
        <w:ind w:firstLine="720"/>
        <w:rPr>
          <w:b/>
          <w:bCs/>
          <w:sz w:val="24"/>
          <w:szCs w:val="24"/>
          <w:u w:val="single"/>
        </w:rPr>
      </w:pPr>
      <w:r w:rsidRPr="00D1201F">
        <w:rPr>
          <w:sz w:val="24"/>
          <w:szCs w:val="24"/>
        </w:rPr>
        <w:t xml:space="preserve">Counsel shall electronically file </w:t>
      </w:r>
      <w:r w:rsidR="00933140">
        <w:rPr>
          <w:sz w:val="24"/>
          <w:szCs w:val="24"/>
        </w:rPr>
        <w:t xml:space="preserve">as attachments to the motion to amend: </w:t>
      </w:r>
      <w:r w:rsidR="007D5142">
        <w:rPr>
          <w:sz w:val="24"/>
          <w:szCs w:val="24"/>
        </w:rPr>
        <w:t xml:space="preserve"> (1) a clean version of </w:t>
      </w:r>
      <w:r w:rsidRPr="00D1201F">
        <w:rPr>
          <w:sz w:val="24"/>
          <w:szCs w:val="24"/>
        </w:rPr>
        <w:t>the proposed amended pleading</w:t>
      </w:r>
      <w:r w:rsidR="00F4761B">
        <w:rPr>
          <w:sz w:val="24"/>
          <w:szCs w:val="24"/>
        </w:rPr>
        <w:t xml:space="preserve">, </w:t>
      </w:r>
      <w:r w:rsidR="007D5142">
        <w:rPr>
          <w:sz w:val="24"/>
          <w:szCs w:val="24"/>
        </w:rPr>
        <w:t xml:space="preserve">and (2) </w:t>
      </w:r>
      <w:r w:rsidRPr="00D1201F">
        <w:rPr>
          <w:sz w:val="24"/>
          <w:szCs w:val="24"/>
        </w:rPr>
        <w:t>a redlined version of the proposed amended pleading identifying all additions and deletions of material.</w:t>
      </w:r>
      <w:r w:rsidR="0054689E">
        <w:rPr>
          <w:sz w:val="24"/>
          <w:szCs w:val="24"/>
        </w:rPr>
        <w:t xml:space="preserve"> The redlined version of the proposed amended </w:t>
      </w:r>
      <w:r w:rsidR="0054689E">
        <w:rPr>
          <w:sz w:val="24"/>
          <w:szCs w:val="24"/>
        </w:rPr>
        <w:lastRenderedPageBreak/>
        <w:t xml:space="preserve">pleading should be emailed </w:t>
      </w:r>
      <w:r w:rsidR="005B3B15">
        <w:rPr>
          <w:sz w:val="24"/>
          <w:szCs w:val="24"/>
        </w:rPr>
        <w:t xml:space="preserve">in </w:t>
      </w:r>
      <w:r w:rsidR="00CE6BDC">
        <w:rPr>
          <w:sz w:val="24"/>
          <w:szCs w:val="24"/>
        </w:rPr>
        <w:t xml:space="preserve">Microsoft </w:t>
      </w:r>
      <w:r w:rsidR="005B3B15">
        <w:rPr>
          <w:sz w:val="24"/>
          <w:szCs w:val="24"/>
        </w:rPr>
        <w:t xml:space="preserve">Word format </w:t>
      </w:r>
      <w:r w:rsidR="0054689E">
        <w:rPr>
          <w:sz w:val="24"/>
          <w:szCs w:val="24"/>
        </w:rPr>
        <w:t>to the C</w:t>
      </w:r>
      <w:r w:rsidR="0054689E" w:rsidRPr="00D1201F">
        <w:rPr>
          <w:sz w:val="24"/>
          <w:szCs w:val="24"/>
        </w:rPr>
        <w:t>ourt’s chambers email address</w:t>
      </w:r>
      <w:r w:rsidR="0054689E">
        <w:rPr>
          <w:sz w:val="24"/>
          <w:szCs w:val="24"/>
        </w:rPr>
        <w:t xml:space="preserve"> at</w:t>
      </w:r>
      <w:r w:rsidR="0054689E" w:rsidRPr="008C18CB">
        <w:rPr>
          <w:sz w:val="24"/>
          <w:szCs w:val="24"/>
        </w:rPr>
        <w:t xml:space="preserve"> </w:t>
      </w:r>
      <w:r w:rsidR="005F6569" w:rsidRPr="00B852E9">
        <w:rPr>
          <w:sz w:val="24"/>
          <w:szCs w:val="24"/>
        </w:rPr>
        <w:t>MEMF_Chambers@cacd.uscourts.gov</w:t>
      </w:r>
      <w:r w:rsidR="005F6569">
        <w:rPr>
          <w:sz w:val="24"/>
          <w:szCs w:val="24"/>
        </w:rPr>
        <w:t>.</w:t>
      </w:r>
    </w:p>
    <w:p w14:paraId="2D54EDF7" w14:textId="4EA5DC03" w:rsidR="006519D1" w:rsidRPr="00D1201F" w:rsidRDefault="006519D1" w:rsidP="006519D1">
      <w:pPr>
        <w:numPr>
          <w:ilvl w:val="1"/>
          <w:numId w:val="26"/>
        </w:numPr>
        <w:ind w:left="0" w:firstLine="720"/>
        <w:rPr>
          <w:b/>
          <w:bCs/>
          <w:sz w:val="24"/>
          <w:szCs w:val="24"/>
          <w:u w:val="single"/>
        </w:rPr>
      </w:pPr>
      <w:r w:rsidRPr="00D1201F">
        <w:rPr>
          <w:b/>
          <w:bCs/>
          <w:sz w:val="24"/>
          <w:szCs w:val="24"/>
        </w:rPr>
        <w:t>Motions for Class Certification:</w:t>
      </w:r>
      <w:r w:rsidRPr="00D1201F">
        <w:rPr>
          <w:sz w:val="24"/>
          <w:szCs w:val="24"/>
        </w:rPr>
        <w:t xml:space="preserve"> </w:t>
      </w:r>
      <w:r w:rsidR="00F4761B">
        <w:rPr>
          <w:sz w:val="24"/>
          <w:szCs w:val="24"/>
        </w:rPr>
        <w:t xml:space="preserve">If this action is a putative class action, the parties are to act diligently and begin discovery immediately, so that the motion for class certification can be filed expeditiously. </w:t>
      </w:r>
      <w:r w:rsidRPr="00660C6E">
        <w:rPr>
          <w:sz w:val="24"/>
          <w:szCs w:val="24"/>
        </w:rPr>
        <w:t xml:space="preserve">This Court requires an extended briefing schedule for </w:t>
      </w:r>
      <w:r>
        <w:rPr>
          <w:sz w:val="24"/>
          <w:szCs w:val="24"/>
        </w:rPr>
        <w:t>motions for class certification. Parties are advised to refer to the Court’s Order Setting Scheduling Conference for additional guidance as to filing and timing of motions for class certification.</w:t>
      </w:r>
    </w:p>
    <w:p w14:paraId="2E39E9D5" w14:textId="3850C85B" w:rsidR="006519D1" w:rsidRPr="00D1201F" w:rsidRDefault="00296284" w:rsidP="006519D1">
      <w:pPr>
        <w:numPr>
          <w:ilvl w:val="1"/>
          <w:numId w:val="26"/>
        </w:numPr>
        <w:ind w:left="0" w:firstLine="720"/>
        <w:rPr>
          <w:b/>
          <w:bCs/>
          <w:sz w:val="24"/>
          <w:szCs w:val="24"/>
          <w:u w:val="single"/>
        </w:rPr>
      </w:pPr>
      <w:r>
        <w:rPr>
          <w:b/>
          <w:bCs/>
          <w:sz w:val="24"/>
          <w:szCs w:val="24"/>
        </w:rPr>
        <w:t>Motions for Summary Judgment</w:t>
      </w:r>
      <w:r w:rsidR="006519D1" w:rsidRPr="00D1201F">
        <w:rPr>
          <w:b/>
          <w:bCs/>
          <w:sz w:val="24"/>
          <w:szCs w:val="24"/>
        </w:rPr>
        <w:t xml:space="preserve">: </w:t>
      </w:r>
      <w:r w:rsidR="006519D1" w:rsidRPr="00D261BA">
        <w:rPr>
          <w:b/>
          <w:sz w:val="24"/>
        </w:rPr>
        <w:t>No party may file more than one motion pursuant to Federal Rule of Civil Procedure 56</w:t>
      </w:r>
      <w:r w:rsidR="006519D1">
        <w:rPr>
          <w:sz w:val="24"/>
          <w:szCs w:val="24"/>
        </w:rPr>
        <w:t>,</w:t>
      </w:r>
      <w:r w:rsidR="006519D1" w:rsidRPr="00D1201F">
        <w:rPr>
          <w:sz w:val="24"/>
          <w:szCs w:val="24"/>
        </w:rPr>
        <w:t xml:space="preserve"> regardless of whether such motion is denominated a motion for summary judgment or summary adjudication, without leave of </w:t>
      </w:r>
      <w:r w:rsidR="006519D1">
        <w:rPr>
          <w:sz w:val="24"/>
          <w:szCs w:val="24"/>
        </w:rPr>
        <w:t>the C</w:t>
      </w:r>
      <w:r w:rsidR="006519D1" w:rsidRPr="00D1201F">
        <w:rPr>
          <w:sz w:val="24"/>
          <w:szCs w:val="24"/>
        </w:rPr>
        <w:t xml:space="preserve">ourt. The parties shall not attempt to evade the page limitations for briefs by filing multiple motions. If a party believes this is one of the rare instances in which good cause exists for more than one </w:t>
      </w:r>
      <w:r w:rsidR="006519D1">
        <w:rPr>
          <w:sz w:val="24"/>
          <w:szCs w:val="24"/>
        </w:rPr>
        <w:t>motion for summary judgment</w:t>
      </w:r>
      <w:r w:rsidR="006519D1" w:rsidRPr="00D1201F">
        <w:rPr>
          <w:sz w:val="24"/>
          <w:szCs w:val="24"/>
        </w:rPr>
        <w:t xml:space="preserve"> or to increase page limits, the party shall seek leave by noticed motion setting forth a detailed showing of good cause. Pursuant t</w:t>
      </w:r>
      <w:r w:rsidR="006519D1">
        <w:rPr>
          <w:sz w:val="24"/>
          <w:szCs w:val="24"/>
        </w:rPr>
        <w:t>o Federal Rule of Civil Procedure</w:t>
      </w:r>
      <w:r w:rsidR="006519D1" w:rsidRPr="00D1201F">
        <w:rPr>
          <w:sz w:val="24"/>
          <w:szCs w:val="24"/>
        </w:rPr>
        <w:t xml:space="preserve"> 56(f), when appropriate, based on undisputed facts and controlling principles of law, the </w:t>
      </w:r>
      <w:r w:rsidR="006519D1">
        <w:rPr>
          <w:sz w:val="24"/>
          <w:szCs w:val="24"/>
        </w:rPr>
        <w:t>C</w:t>
      </w:r>
      <w:r w:rsidR="006519D1" w:rsidRPr="00D1201F">
        <w:rPr>
          <w:sz w:val="24"/>
          <w:szCs w:val="24"/>
        </w:rPr>
        <w:t xml:space="preserve">ourt may </w:t>
      </w:r>
      <w:proofErr w:type="spellStart"/>
      <w:r w:rsidR="006519D1" w:rsidRPr="00D1201F">
        <w:rPr>
          <w:sz w:val="24"/>
          <w:szCs w:val="24"/>
        </w:rPr>
        <w:t>sua</w:t>
      </w:r>
      <w:proofErr w:type="spellEnd"/>
      <w:r w:rsidR="006519D1" w:rsidRPr="00D1201F">
        <w:rPr>
          <w:sz w:val="24"/>
          <w:szCs w:val="24"/>
        </w:rPr>
        <w:t xml:space="preserve"> sponte enter summary judgment in favor of the non-moving party.</w:t>
      </w:r>
    </w:p>
    <w:p w14:paraId="7ECC66B1" w14:textId="5B7FF64B" w:rsidR="006519D1" w:rsidRPr="00D1201F" w:rsidRDefault="00094140" w:rsidP="001E027C">
      <w:pPr>
        <w:ind w:firstLine="720"/>
        <w:rPr>
          <w:sz w:val="24"/>
          <w:szCs w:val="24"/>
        </w:rPr>
      </w:pPr>
      <w:r>
        <w:rPr>
          <w:sz w:val="24"/>
          <w:szCs w:val="24"/>
        </w:rPr>
        <w:t>T</w:t>
      </w:r>
      <w:r w:rsidR="006519D1" w:rsidRPr="00D1201F">
        <w:rPr>
          <w:sz w:val="24"/>
          <w:szCs w:val="24"/>
        </w:rPr>
        <w:t xml:space="preserve">he </w:t>
      </w:r>
      <w:r w:rsidR="006519D1">
        <w:rPr>
          <w:sz w:val="24"/>
          <w:szCs w:val="24"/>
        </w:rPr>
        <w:t>C</w:t>
      </w:r>
      <w:r w:rsidR="006519D1" w:rsidRPr="00D1201F">
        <w:rPr>
          <w:sz w:val="24"/>
          <w:szCs w:val="24"/>
        </w:rPr>
        <w:t xml:space="preserve">ourt will not entertain cross-motions that seek to adjudicate the same legal issues. If parties wish to cross-move for summary judgment, their counsel shall meet and confer to determine which party will move and which will oppose the one motion for summary judgment.  </w:t>
      </w:r>
    </w:p>
    <w:p w14:paraId="77475F58" w14:textId="046BD547" w:rsidR="00BA41FA" w:rsidRDefault="006519D1" w:rsidP="00296284">
      <w:pPr>
        <w:ind w:firstLine="720"/>
        <w:rPr>
          <w:sz w:val="24"/>
          <w:szCs w:val="24"/>
        </w:rPr>
      </w:pPr>
      <w:r w:rsidRPr="00D1201F">
        <w:rPr>
          <w:sz w:val="24"/>
          <w:szCs w:val="24"/>
        </w:rPr>
        <w:t xml:space="preserve">Parties need not wait until the motion cutoff date to bring motions for summary judgment or partial summary judgment. The hearing on any such motion shall be set for a date in advance of the Final Pretrial Conference. </w:t>
      </w:r>
      <w:r w:rsidR="000A1C0E" w:rsidRPr="000B6C5A">
        <w:rPr>
          <w:b/>
          <w:bCs/>
          <w:sz w:val="24"/>
          <w:szCs w:val="24"/>
        </w:rPr>
        <w:t>Parties must reserve a hearing date for motions for summary judgment at least seventy-five (75) days in advance</w:t>
      </w:r>
      <w:r w:rsidR="00887893" w:rsidRPr="000B6C5A">
        <w:rPr>
          <w:b/>
          <w:bCs/>
          <w:sz w:val="24"/>
          <w:szCs w:val="24"/>
        </w:rPr>
        <w:t>.</w:t>
      </w:r>
    </w:p>
    <w:p w14:paraId="0C57199A" w14:textId="512E1174" w:rsidR="00BA41FA" w:rsidRDefault="00BA41FA" w:rsidP="00296284">
      <w:pPr>
        <w:ind w:firstLine="720"/>
        <w:rPr>
          <w:sz w:val="24"/>
          <w:szCs w:val="24"/>
        </w:rPr>
      </w:pPr>
      <w:r>
        <w:rPr>
          <w:sz w:val="24"/>
          <w:szCs w:val="24"/>
        </w:rPr>
        <w:t xml:space="preserve">Any parties intending to file or oppose a Motion for Summary Judgment shall work </w:t>
      </w:r>
      <w:r w:rsidR="003E4683" w:rsidRPr="003E4683">
        <w:rPr>
          <w:sz w:val="24"/>
          <w:szCs w:val="24"/>
        </w:rPr>
        <w:t>cooperatively to create a single, fully integrated joint brief covering all parties’ summary judgment motions, in which each issue (or sub-issue) raised by a party is immediately followed by the opposing party’s response. Each separately</w:t>
      </w:r>
      <w:r w:rsidR="00B604B8">
        <w:rPr>
          <w:sz w:val="24"/>
          <w:szCs w:val="24"/>
        </w:rPr>
        <w:t xml:space="preserve"> </w:t>
      </w:r>
      <w:r w:rsidR="003E4683" w:rsidRPr="003E4683">
        <w:rPr>
          <w:sz w:val="24"/>
          <w:szCs w:val="24"/>
        </w:rPr>
        <w:t>represented party shall be limited to twenty-five (25) pages, exclusive of tables of contents and authorities</w:t>
      </w:r>
      <w:r w:rsidR="003E4683">
        <w:rPr>
          <w:sz w:val="24"/>
          <w:szCs w:val="24"/>
        </w:rPr>
        <w:t>.</w:t>
      </w:r>
    </w:p>
    <w:p w14:paraId="028C9E19" w14:textId="70A3665F" w:rsidR="006519D1" w:rsidRDefault="006519D1" w:rsidP="001E027C">
      <w:pPr>
        <w:ind w:firstLine="720"/>
        <w:rPr>
          <w:sz w:val="24"/>
          <w:szCs w:val="24"/>
        </w:rPr>
      </w:pPr>
      <w:r w:rsidRPr="00660C6E">
        <w:rPr>
          <w:sz w:val="24"/>
          <w:szCs w:val="24"/>
        </w:rPr>
        <w:lastRenderedPageBreak/>
        <w:t xml:space="preserve">This Court requires an extended briefing schedule </w:t>
      </w:r>
      <w:r>
        <w:rPr>
          <w:sz w:val="24"/>
          <w:szCs w:val="24"/>
        </w:rPr>
        <w:t xml:space="preserve">for motions for summary judgment, </w:t>
      </w:r>
      <w:r w:rsidR="00553C8F" w:rsidRPr="001E027C">
        <w:rPr>
          <w:i/>
          <w:sz w:val="24"/>
          <w:szCs w:val="24"/>
        </w:rPr>
        <w:t>calculated based on the date the motion is filed</w:t>
      </w:r>
      <w:r w:rsidR="00553C8F">
        <w:rPr>
          <w:sz w:val="24"/>
          <w:szCs w:val="24"/>
        </w:rPr>
        <w:t xml:space="preserve">, </w:t>
      </w:r>
      <w:r>
        <w:rPr>
          <w:sz w:val="24"/>
          <w:szCs w:val="24"/>
        </w:rPr>
        <w:t>as set forth below:</w:t>
      </w:r>
    </w:p>
    <w:p w14:paraId="3614DE07" w14:textId="3A2FA77E" w:rsidR="00F51056" w:rsidRPr="001E027C" w:rsidRDefault="006519D1" w:rsidP="00F51056">
      <w:pPr>
        <w:pStyle w:val="ListParagraph"/>
        <w:numPr>
          <w:ilvl w:val="0"/>
          <w:numId w:val="29"/>
        </w:numPr>
        <w:rPr>
          <w:sz w:val="24"/>
          <w:szCs w:val="24"/>
        </w:rPr>
      </w:pPr>
      <w:r w:rsidRPr="00F51056">
        <w:rPr>
          <w:i/>
          <w:iCs/>
          <w:sz w:val="24"/>
          <w:szCs w:val="24"/>
        </w:rPr>
        <w:t>Motions for Summary Judgment</w:t>
      </w:r>
      <w:r w:rsidRPr="00F51056">
        <w:rPr>
          <w:sz w:val="24"/>
          <w:szCs w:val="24"/>
        </w:rPr>
        <w:t xml:space="preserve">: </w:t>
      </w:r>
      <w:r w:rsidR="00F51056" w:rsidRPr="001E027C">
        <w:rPr>
          <w:sz w:val="24"/>
          <w:szCs w:val="24"/>
        </w:rPr>
        <w:t>No later than sixty-three (63) calendar days before the hearing on the motion, the moving party shall provide to the non-moving party an electronic copy of the opening brief, together with the moving party’s portion of the evidentiary appendix and joint appendix of undisputed and disputed facts.</w:t>
      </w:r>
    </w:p>
    <w:p w14:paraId="144F350A" w14:textId="4BFAA8E6" w:rsidR="006519D1" w:rsidRPr="001E027C" w:rsidRDefault="006519D1" w:rsidP="001E027C">
      <w:pPr>
        <w:pStyle w:val="ListParagraph"/>
        <w:numPr>
          <w:ilvl w:val="0"/>
          <w:numId w:val="29"/>
        </w:numPr>
        <w:rPr>
          <w:sz w:val="24"/>
          <w:szCs w:val="24"/>
        </w:rPr>
      </w:pPr>
      <w:r w:rsidRPr="00F51056">
        <w:rPr>
          <w:i/>
          <w:iCs/>
          <w:sz w:val="24"/>
          <w:szCs w:val="24"/>
        </w:rPr>
        <w:t>Opposition</w:t>
      </w:r>
      <w:r w:rsidRPr="00F51056">
        <w:rPr>
          <w:sz w:val="24"/>
          <w:szCs w:val="24"/>
        </w:rPr>
        <w:t xml:space="preserve">: </w:t>
      </w:r>
      <w:r w:rsidR="003460AF" w:rsidRPr="001E027C">
        <w:rPr>
          <w:sz w:val="24"/>
          <w:szCs w:val="24"/>
        </w:rPr>
        <w:t>No later than fourteen (14) calendar days after receipt of the opening brief, the non-moving party shall provide the moving party with an electronic copy of the integrated motion, which shall include the opposing party’s portion of the joint brief, together with the opposing party’s portion of the evidentiary appendix and joint appendix of undisputed and disputed facts.</w:t>
      </w:r>
    </w:p>
    <w:p w14:paraId="3DB284F8" w14:textId="068A3199" w:rsidR="006519D1" w:rsidRPr="001E027C" w:rsidRDefault="006519D1" w:rsidP="001E027C">
      <w:pPr>
        <w:pStyle w:val="ListParagraph"/>
        <w:numPr>
          <w:ilvl w:val="0"/>
          <w:numId w:val="29"/>
        </w:numPr>
        <w:rPr>
          <w:sz w:val="24"/>
          <w:szCs w:val="24"/>
        </w:rPr>
      </w:pPr>
      <w:r w:rsidRPr="00660C6E">
        <w:rPr>
          <w:i/>
          <w:iCs/>
          <w:sz w:val="24"/>
          <w:szCs w:val="24"/>
        </w:rPr>
        <w:t>Reply</w:t>
      </w:r>
      <w:r w:rsidRPr="00660C6E">
        <w:rPr>
          <w:sz w:val="24"/>
          <w:szCs w:val="24"/>
        </w:rPr>
        <w:t xml:space="preserve">: </w:t>
      </w:r>
      <w:r w:rsidR="00650656" w:rsidRPr="001E027C">
        <w:rPr>
          <w:sz w:val="24"/>
          <w:szCs w:val="24"/>
        </w:rPr>
        <w:t xml:space="preserve">No later than seven (7) calendar days after receiving the integrated version of the motion and related papers, the moving party shall </w:t>
      </w:r>
      <w:r w:rsidR="002E4979">
        <w:rPr>
          <w:sz w:val="24"/>
          <w:szCs w:val="24"/>
        </w:rPr>
        <w:t xml:space="preserve">integrate their </w:t>
      </w:r>
      <w:proofErr w:type="gramStart"/>
      <w:r w:rsidR="002E4979">
        <w:rPr>
          <w:sz w:val="24"/>
          <w:szCs w:val="24"/>
        </w:rPr>
        <w:t>reply</w:t>
      </w:r>
      <w:proofErr w:type="gramEnd"/>
      <w:r w:rsidR="002E4979">
        <w:rPr>
          <w:sz w:val="24"/>
          <w:szCs w:val="24"/>
        </w:rPr>
        <w:t xml:space="preserve"> arguments into the joint brief and </w:t>
      </w:r>
      <w:r w:rsidR="00650656" w:rsidRPr="001E027C">
        <w:rPr>
          <w:sz w:val="24"/>
          <w:szCs w:val="24"/>
        </w:rPr>
        <w:t xml:space="preserve">file </w:t>
      </w:r>
      <w:r w:rsidR="002E4979">
        <w:rPr>
          <w:sz w:val="24"/>
          <w:szCs w:val="24"/>
        </w:rPr>
        <w:t>it</w:t>
      </w:r>
      <w:r w:rsidR="00650656" w:rsidRPr="001E027C">
        <w:rPr>
          <w:sz w:val="24"/>
          <w:szCs w:val="24"/>
        </w:rPr>
        <w:t xml:space="preserve"> with the Court. The moving party shall not make further revisions to the joint brief other than </w:t>
      </w:r>
      <w:r w:rsidR="002E4979">
        <w:rPr>
          <w:sz w:val="24"/>
          <w:szCs w:val="24"/>
        </w:rPr>
        <w:t xml:space="preserve">integrating their </w:t>
      </w:r>
      <w:proofErr w:type="gramStart"/>
      <w:r w:rsidR="002E4979">
        <w:rPr>
          <w:sz w:val="24"/>
          <w:szCs w:val="24"/>
        </w:rPr>
        <w:t>reply</w:t>
      </w:r>
      <w:proofErr w:type="gramEnd"/>
      <w:r w:rsidR="002E4979">
        <w:rPr>
          <w:sz w:val="24"/>
          <w:szCs w:val="24"/>
        </w:rPr>
        <w:t xml:space="preserve"> arguments</w:t>
      </w:r>
      <w:r w:rsidR="00650656" w:rsidRPr="001E027C">
        <w:rPr>
          <w:sz w:val="24"/>
          <w:szCs w:val="24"/>
        </w:rPr>
        <w:t xml:space="preserve"> and finalizing the document for filing. </w:t>
      </w:r>
    </w:p>
    <w:p w14:paraId="3C4FF94D" w14:textId="5AAFBAA8" w:rsidR="00605C99" w:rsidRPr="001E027C" w:rsidRDefault="00605C99">
      <w:pPr>
        <w:ind w:firstLine="720"/>
        <w:rPr>
          <w:sz w:val="24"/>
        </w:rPr>
      </w:pPr>
      <w:proofErr w:type="gramStart"/>
      <w:r>
        <w:rPr>
          <w:bCs/>
          <w:sz w:val="24"/>
        </w:rPr>
        <w:t>In the event that</w:t>
      </w:r>
      <w:proofErr w:type="gramEnd"/>
      <w:r>
        <w:rPr>
          <w:bCs/>
          <w:sz w:val="24"/>
        </w:rPr>
        <w:t xml:space="preserve"> the </w:t>
      </w:r>
      <w:r w:rsidRPr="003E0360">
        <w:rPr>
          <w:i/>
          <w:sz w:val="24"/>
        </w:rPr>
        <w:t>moving</w:t>
      </w:r>
      <w:r>
        <w:rPr>
          <w:bCs/>
          <w:sz w:val="24"/>
        </w:rPr>
        <w:t xml:space="preserve"> party is </w:t>
      </w:r>
      <w:r w:rsidR="00AB39E0">
        <w:rPr>
          <w:bCs/>
          <w:sz w:val="24"/>
        </w:rPr>
        <w:t xml:space="preserve">a self-represented litigant, </w:t>
      </w:r>
      <w:r w:rsidR="0086726A">
        <w:rPr>
          <w:bCs/>
          <w:sz w:val="24"/>
        </w:rPr>
        <w:t xml:space="preserve">the parties </w:t>
      </w:r>
      <w:r w:rsidR="00FF7A23">
        <w:rPr>
          <w:bCs/>
          <w:sz w:val="24"/>
        </w:rPr>
        <w:t xml:space="preserve">shall file their briefs pursuant to the </w:t>
      </w:r>
      <w:proofErr w:type="gramStart"/>
      <w:r w:rsidR="00FF7A23">
        <w:rPr>
          <w:bCs/>
          <w:sz w:val="24"/>
        </w:rPr>
        <w:t>aforementioned briefing</w:t>
      </w:r>
      <w:proofErr w:type="gramEnd"/>
      <w:r w:rsidR="00FF7A23">
        <w:rPr>
          <w:bCs/>
          <w:sz w:val="24"/>
        </w:rPr>
        <w:t xml:space="preserve"> schedule</w:t>
      </w:r>
      <w:r w:rsidR="0092230A">
        <w:rPr>
          <w:bCs/>
          <w:sz w:val="24"/>
        </w:rPr>
        <w:t xml:space="preserve"> but will not be required to submit joint briefing; rather,</w:t>
      </w:r>
      <w:r w:rsidR="002332D7">
        <w:rPr>
          <w:bCs/>
          <w:sz w:val="24"/>
        </w:rPr>
        <w:t xml:space="preserve"> </w:t>
      </w:r>
      <w:r w:rsidR="002C28DA">
        <w:rPr>
          <w:bCs/>
          <w:sz w:val="24"/>
        </w:rPr>
        <w:t xml:space="preserve">the parties </w:t>
      </w:r>
      <w:r w:rsidR="00B24156">
        <w:rPr>
          <w:bCs/>
          <w:sz w:val="24"/>
        </w:rPr>
        <w:t xml:space="preserve">may submit </w:t>
      </w:r>
      <w:r w:rsidR="00831AF5">
        <w:rPr>
          <w:bCs/>
          <w:sz w:val="24"/>
        </w:rPr>
        <w:t>separate</w:t>
      </w:r>
      <w:r w:rsidR="00B24156">
        <w:rPr>
          <w:bCs/>
          <w:sz w:val="24"/>
        </w:rPr>
        <w:t xml:space="preserve"> briefing.</w:t>
      </w:r>
      <w:r w:rsidR="00842B46">
        <w:rPr>
          <w:bCs/>
          <w:sz w:val="24"/>
        </w:rPr>
        <w:t xml:space="preserve"> </w:t>
      </w:r>
      <w:proofErr w:type="gramStart"/>
      <w:r w:rsidR="00B00E53">
        <w:rPr>
          <w:bCs/>
          <w:sz w:val="24"/>
        </w:rPr>
        <w:t>I</w:t>
      </w:r>
      <w:r w:rsidR="00842B46">
        <w:rPr>
          <w:bCs/>
          <w:sz w:val="24"/>
        </w:rPr>
        <w:t>n the event that</w:t>
      </w:r>
      <w:proofErr w:type="gramEnd"/>
      <w:r w:rsidR="00842B46">
        <w:rPr>
          <w:bCs/>
          <w:sz w:val="24"/>
        </w:rPr>
        <w:t xml:space="preserve"> the </w:t>
      </w:r>
      <w:r w:rsidR="00842B46" w:rsidRPr="003E0360">
        <w:rPr>
          <w:bCs/>
          <w:i/>
          <w:iCs/>
          <w:sz w:val="24"/>
        </w:rPr>
        <w:t>non-moving</w:t>
      </w:r>
      <w:r w:rsidR="00842B46">
        <w:rPr>
          <w:bCs/>
          <w:sz w:val="24"/>
        </w:rPr>
        <w:t xml:space="preserve"> party is a self-represented litigant, the parti</w:t>
      </w:r>
      <w:r w:rsidR="00B00E53">
        <w:rPr>
          <w:bCs/>
          <w:sz w:val="24"/>
        </w:rPr>
        <w:t xml:space="preserve">es shall file their briefs pursuant to the </w:t>
      </w:r>
      <w:proofErr w:type="gramStart"/>
      <w:r w:rsidR="00B00E53">
        <w:rPr>
          <w:bCs/>
          <w:sz w:val="24"/>
        </w:rPr>
        <w:t>aforementioned briefing</w:t>
      </w:r>
      <w:proofErr w:type="gramEnd"/>
      <w:r w:rsidR="00B00E53">
        <w:rPr>
          <w:bCs/>
          <w:sz w:val="24"/>
        </w:rPr>
        <w:t xml:space="preserve"> schedule; however, the represented moving party shall manage the integration and compilation of both parties’ portions of the joint brief, including, but not limited to, Word processing. </w:t>
      </w:r>
      <w:r w:rsidR="00B00E53" w:rsidRPr="00B00E53">
        <w:rPr>
          <w:bCs/>
          <w:sz w:val="24"/>
        </w:rPr>
        <w:t xml:space="preserve">Pro se parties are expressly advised that, pursuant to </w:t>
      </w:r>
      <w:r w:rsidR="00B00E53" w:rsidRPr="003E0360">
        <w:rPr>
          <w:bCs/>
          <w:i/>
          <w:iCs/>
          <w:sz w:val="24"/>
        </w:rPr>
        <w:t>Rand v. Rowland</w:t>
      </w:r>
      <w:r w:rsidR="00B00E53" w:rsidRPr="00B00E53">
        <w:rPr>
          <w:bCs/>
          <w:sz w:val="24"/>
        </w:rPr>
        <w:t>, 154 F.3d 952, 962</w:t>
      </w:r>
      <w:r w:rsidR="00B00E53">
        <w:rPr>
          <w:bCs/>
          <w:sz w:val="24"/>
        </w:rPr>
        <w:t>–</w:t>
      </w:r>
      <w:r w:rsidR="00B00E53" w:rsidRPr="00B00E53">
        <w:rPr>
          <w:bCs/>
          <w:sz w:val="24"/>
        </w:rPr>
        <w:t>63 (9th Cir. 1998) (</w:t>
      </w:r>
      <w:proofErr w:type="spellStart"/>
      <w:r w:rsidR="00B00E53" w:rsidRPr="00B00E53">
        <w:rPr>
          <w:bCs/>
          <w:sz w:val="24"/>
        </w:rPr>
        <w:t>en</w:t>
      </w:r>
      <w:proofErr w:type="spellEnd"/>
      <w:r w:rsidR="00B00E53" w:rsidRPr="00B00E53">
        <w:rPr>
          <w:bCs/>
          <w:sz w:val="24"/>
        </w:rPr>
        <w:t xml:space="preserve"> banc), and </w:t>
      </w:r>
      <w:r w:rsidR="00B00E53" w:rsidRPr="003E0360">
        <w:rPr>
          <w:bCs/>
          <w:i/>
          <w:iCs/>
          <w:sz w:val="24"/>
        </w:rPr>
        <w:t>Woods v. Carey</w:t>
      </w:r>
      <w:r w:rsidR="00B00E53" w:rsidRPr="00B00E53">
        <w:rPr>
          <w:bCs/>
          <w:sz w:val="24"/>
        </w:rPr>
        <w:t>, 684 F.3d 934, 939</w:t>
      </w:r>
      <w:r w:rsidR="00B00E53">
        <w:rPr>
          <w:bCs/>
          <w:sz w:val="24"/>
        </w:rPr>
        <w:t>–</w:t>
      </w:r>
      <w:r w:rsidR="00B00E53" w:rsidRPr="00B00E53">
        <w:rPr>
          <w:bCs/>
          <w:sz w:val="24"/>
        </w:rPr>
        <w:t xml:space="preserve">40 (9th Cir. 2012), he or she has the right to submit counter-declarations and any other relevant evidence to oppose a Motion for Summary Judgment. Such party is further advised that if he or she fails to rebut the moving party’s version of the facts with counter-declarations or other evidence, the court may accept that party’s version of the facts as true and the claims against that party may be dismissed without a trial. All declarations must be </w:t>
      </w:r>
      <w:r w:rsidR="00B00E53" w:rsidRPr="00B00E53">
        <w:rPr>
          <w:bCs/>
          <w:sz w:val="24"/>
        </w:rPr>
        <w:lastRenderedPageBreak/>
        <w:t xml:space="preserve">signed under penalty of perjury by </w:t>
      </w:r>
      <w:proofErr w:type="gramStart"/>
      <w:r w:rsidR="00B00E53" w:rsidRPr="00B00E53">
        <w:rPr>
          <w:bCs/>
          <w:sz w:val="24"/>
        </w:rPr>
        <w:t>persons having</w:t>
      </w:r>
      <w:proofErr w:type="gramEnd"/>
      <w:r w:rsidR="00B00E53" w:rsidRPr="00B00E53">
        <w:rPr>
          <w:bCs/>
          <w:sz w:val="24"/>
        </w:rPr>
        <w:t xml:space="preserve"> personal knowledge of the facts stated in the declarations.</w:t>
      </w:r>
    </w:p>
    <w:p w14:paraId="04A3EAC0" w14:textId="1CFA58CF" w:rsidR="006519D1" w:rsidRPr="00D1201F" w:rsidRDefault="006519D1" w:rsidP="001E027C">
      <w:pPr>
        <w:ind w:firstLine="720"/>
        <w:rPr>
          <w:sz w:val="24"/>
          <w:szCs w:val="24"/>
        </w:rPr>
      </w:pPr>
      <w:r w:rsidRPr="00D261BA">
        <w:rPr>
          <w:b/>
          <w:sz w:val="24"/>
        </w:rPr>
        <w:t>The above briefing schedule is the default.</w:t>
      </w:r>
      <w:r w:rsidRPr="00D1201F">
        <w:rPr>
          <w:sz w:val="24"/>
          <w:szCs w:val="24"/>
        </w:rPr>
        <w:t xml:space="preserve"> The parties may stipulate to a modified schedule that is reasonable for all parties. Any briefing schedule must provide the </w:t>
      </w:r>
      <w:r>
        <w:rPr>
          <w:sz w:val="24"/>
          <w:szCs w:val="24"/>
        </w:rPr>
        <w:t>C</w:t>
      </w:r>
      <w:r w:rsidRPr="00D1201F">
        <w:rPr>
          <w:sz w:val="24"/>
          <w:szCs w:val="24"/>
        </w:rPr>
        <w:t xml:space="preserve">ourt at least </w:t>
      </w:r>
      <w:r w:rsidR="00EE6430">
        <w:rPr>
          <w:sz w:val="24"/>
          <w:szCs w:val="24"/>
        </w:rPr>
        <w:t>forty-two</w:t>
      </w:r>
      <w:r>
        <w:rPr>
          <w:sz w:val="24"/>
          <w:szCs w:val="24"/>
        </w:rPr>
        <w:t xml:space="preserve"> (</w:t>
      </w:r>
      <w:r w:rsidR="00EE6430">
        <w:rPr>
          <w:sz w:val="24"/>
          <w:szCs w:val="24"/>
        </w:rPr>
        <w:t>42</w:t>
      </w:r>
      <w:r>
        <w:rPr>
          <w:sz w:val="24"/>
          <w:szCs w:val="24"/>
        </w:rPr>
        <w:t>) days</w:t>
      </w:r>
      <w:r w:rsidRPr="00D1201F">
        <w:rPr>
          <w:sz w:val="24"/>
          <w:szCs w:val="24"/>
        </w:rPr>
        <w:t xml:space="preserve"> between the </w:t>
      </w:r>
      <w:r w:rsidR="006E50F3">
        <w:rPr>
          <w:sz w:val="24"/>
          <w:szCs w:val="24"/>
        </w:rPr>
        <w:t>R</w:t>
      </w:r>
      <w:r>
        <w:rPr>
          <w:sz w:val="24"/>
          <w:szCs w:val="24"/>
        </w:rPr>
        <w:t>eply</w:t>
      </w:r>
      <w:r w:rsidRPr="00D1201F">
        <w:rPr>
          <w:sz w:val="24"/>
          <w:szCs w:val="24"/>
        </w:rPr>
        <w:t xml:space="preserve"> deadline and the hearing date.</w:t>
      </w:r>
    </w:p>
    <w:p w14:paraId="1F717442" w14:textId="21867C1B" w:rsidR="006519D1" w:rsidRPr="00D1201F" w:rsidRDefault="006519D1" w:rsidP="001E027C">
      <w:pPr>
        <w:ind w:firstLine="720"/>
        <w:rPr>
          <w:sz w:val="24"/>
          <w:szCs w:val="24"/>
        </w:rPr>
      </w:pPr>
      <w:r w:rsidRPr="00D1201F">
        <w:rPr>
          <w:sz w:val="24"/>
          <w:szCs w:val="24"/>
        </w:rPr>
        <w:t xml:space="preserve">The parties should prepare papers in a fashion that will assist the </w:t>
      </w:r>
      <w:r>
        <w:rPr>
          <w:sz w:val="24"/>
          <w:szCs w:val="24"/>
        </w:rPr>
        <w:t>C</w:t>
      </w:r>
      <w:r w:rsidRPr="00D1201F">
        <w:rPr>
          <w:sz w:val="24"/>
          <w:szCs w:val="24"/>
        </w:rPr>
        <w:t>ourt in processing and analyzing the volume of material (</w:t>
      </w:r>
      <w:r w:rsidRPr="00D1201F">
        <w:rPr>
          <w:i/>
          <w:iCs/>
          <w:sz w:val="24"/>
          <w:szCs w:val="24"/>
        </w:rPr>
        <w:t>e.g.</w:t>
      </w:r>
      <w:r>
        <w:rPr>
          <w:sz w:val="24"/>
          <w:szCs w:val="24"/>
        </w:rPr>
        <w:t>,</w:t>
      </w:r>
      <w:r w:rsidRPr="00D1201F">
        <w:rPr>
          <w:sz w:val="24"/>
          <w:szCs w:val="24"/>
        </w:rPr>
        <w:t xml:space="preserve"> tables of contents, headings, indices, bookmarks in electronic documents, pinpoint citations, etc.). </w:t>
      </w:r>
      <w:r>
        <w:rPr>
          <w:sz w:val="24"/>
          <w:szCs w:val="24"/>
        </w:rPr>
        <w:t xml:space="preserve">Additionally, </w:t>
      </w:r>
      <w:r w:rsidRPr="003B7316">
        <w:rPr>
          <w:i/>
          <w:iCs/>
          <w:sz w:val="24"/>
          <w:szCs w:val="24"/>
        </w:rPr>
        <w:t xml:space="preserve">for </w:t>
      </w:r>
      <w:r>
        <w:rPr>
          <w:i/>
          <w:iCs/>
          <w:sz w:val="24"/>
          <w:szCs w:val="24"/>
        </w:rPr>
        <w:t>motions for summary judgment</w:t>
      </w:r>
      <w:r w:rsidRPr="003B7316">
        <w:rPr>
          <w:i/>
          <w:iCs/>
          <w:sz w:val="24"/>
          <w:szCs w:val="24"/>
        </w:rPr>
        <w:t xml:space="preserve"> only</w:t>
      </w:r>
      <w:r>
        <w:rPr>
          <w:sz w:val="24"/>
          <w:szCs w:val="24"/>
        </w:rPr>
        <w:t xml:space="preserve">, parties should submit </w:t>
      </w:r>
      <w:r w:rsidR="00A13B4B">
        <w:rPr>
          <w:sz w:val="24"/>
          <w:szCs w:val="24"/>
        </w:rPr>
        <w:t xml:space="preserve">one </w:t>
      </w:r>
      <w:r>
        <w:rPr>
          <w:sz w:val="24"/>
          <w:szCs w:val="24"/>
        </w:rPr>
        <w:t xml:space="preserve">paper </w:t>
      </w:r>
      <w:r w:rsidR="00A13B4B">
        <w:rPr>
          <w:sz w:val="24"/>
          <w:szCs w:val="24"/>
        </w:rPr>
        <w:t xml:space="preserve">copy </w:t>
      </w:r>
      <w:r>
        <w:rPr>
          <w:sz w:val="24"/>
          <w:szCs w:val="24"/>
        </w:rPr>
        <w:t xml:space="preserve">of all </w:t>
      </w:r>
      <w:r w:rsidR="001962B5">
        <w:rPr>
          <w:sz w:val="24"/>
          <w:szCs w:val="24"/>
        </w:rPr>
        <w:t xml:space="preserve">Motion for Summary Judgment </w:t>
      </w:r>
      <w:r>
        <w:rPr>
          <w:sz w:val="24"/>
          <w:szCs w:val="24"/>
        </w:rPr>
        <w:t xml:space="preserve">filings to Judge Frimpong’s mailbox on the Fourth Floor of the </w:t>
      </w:r>
      <w:r w:rsidR="002E5878" w:rsidRPr="002E5878">
        <w:rPr>
          <w:sz w:val="24"/>
          <w:szCs w:val="24"/>
        </w:rPr>
        <w:t>Felicitas and Gonzalo Mendez United States Courthouse</w:t>
      </w:r>
      <w:r>
        <w:rPr>
          <w:sz w:val="24"/>
          <w:szCs w:val="24"/>
        </w:rPr>
        <w:t xml:space="preserve">. </w:t>
      </w:r>
      <w:r w:rsidR="00D17CA8">
        <w:rPr>
          <w:sz w:val="24"/>
          <w:szCs w:val="24"/>
        </w:rPr>
        <w:t xml:space="preserve">Pro se parties are exempt from this requirement. </w:t>
      </w:r>
      <w:r w:rsidR="0024098C">
        <w:rPr>
          <w:sz w:val="24"/>
          <w:szCs w:val="24"/>
        </w:rPr>
        <w:t xml:space="preserve">The Court prefers binders with exhibit tabs for larger filings. </w:t>
      </w:r>
      <w:r w:rsidRPr="00D1201F">
        <w:rPr>
          <w:sz w:val="24"/>
          <w:szCs w:val="24"/>
        </w:rPr>
        <w:t xml:space="preserve">The parties shall comply with Local Rules 56-1 </w:t>
      </w:r>
      <w:r>
        <w:rPr>
          <w:sz w:val="24"/>
          <w:szCs w:val="24"/>
        </w:rPr>
        <w:t>and</w:t>
      </w:r>
      <w:r w:rsidRPr="00D1201F">
        <w:rPr>
          <w:sz w:val="24"/>
          <w:szCs w:val="24"/>
        </w:rPr>
        <w:t xml:space="preserve"> 56-2, </w:t>
      </w:r>
      <w:r>
        <w:rPr>
          <w:sz w:val="24"/>
          <w:szCs w:val="24"/>
        </w:rPr>
        <w:t>in addition to</w:t>
      </w:r>
      <w:r w:rsidRPr="00D1201F">
        <w:rPr>
          <w:sz w:val="24"/>
          <w:szCs w:val="24"/>
        </w:rPr>
        <w:t xml:space="preserve"> the </w:t>
      </w:r>
      <w:r>
        <w:rPr>
          <w:sz w:val="24"/>
          <w:szCs w:val="24"/>
        </w:rPr>
        <w:t>C</w:t>
      </w:r>
      <w:r w:rsidRPr="00D1201F">
        <w:rPr>
          <w:sz w:val="24"/>
          <w:szCs w:val="24"/>
        </w:rPr>
        <w:t xml:space="preserve">ourt’s additional requirements described below.  </w:t>
      </w:r>
    </w:p>
    <w:p w14:paraId="5E85DDC5" w14:textId="4B2DC940" w:rsidR="006519D1" w:rsidRPr="006519D1" w:rsidRDefault="00B238DE">
      <w:pPr>
        <w:pStyle w:val="ListParagraph"/>
        <w:numPr>
          <w:ilvl w:val="2"/>
          <w:numId w:val="26"/>
        </w:numPr>
        <w:ind w:left="2347" w:hanging="360"/>
        <w:rPr>
          <w:sz w:val="24"/>
          <w:szCs w:val="24"/>
          <w:u w:val="single"/>
        </w:rPr>
      </w:pPr>
      <w:r>
        <w:rPr>
          <w:sz w:val="24"/>
          <w:szCs w:val="24"/>
          <w:u w:val="single"/>
        </w:rPr>
        <w:t xml:space="preserve">Moving Party’s </w:t>
      </w:r>
      <w:r w:rsidR="006519D1" w:rsidRPr="006519D1">
        <w:rPr>
          <w:sz w:val="24"/>
          <w:szCs w:val="24"/>
          <w:u w:val="single"/>
        </w:rPr>
        <w:t>Statement of Uncontroverted Facts and Genuine Disputes</w:t>
      </w:r>
    </w:p>
    <w:p w14:paraId="5099A795" w14:textId="26B4A3C7" w:rsidR="006519D1" w:rsidRDefault="006519D1" w:rsidP="001E027C">
      <w:pPr>
        <w:spacing w:before="120"/>
        <w:ind w:firstLine="720"/>
        <w:contextualSpacing/>
        <w:rPr>
          <w:sz w:val="24"/>
          <w:szCs w:val="24"/>
        </w:rPr>
      </w:pPr>
      <w:r w:rsidRPr="00D1201F">
        <w:rPr>
          <w:sz w:val="24"/>
          <w:szCs w:val="24"/>
        </w:rPr>
        <w:t xml:space="preserve">The </w:t>
      </w:r>
      <w:r w:rsidR="001D4B1C">
        <w:rPr>
          <w:sz w:val="24"/>
          <w:szCs w:val="24"/>
        </w:rPr>
        <w:t xml:space="preserve">joint </w:t>
      </w:r>
      <w:r>
        <w:rPr>
          <w:sz w:val="24"/>
          <w:szCs w:val="24"/>
        </w:rPr>
        <w:t>statement of uncontroverted facts</w:t>
      </w:r>
      <w:r w:rsidRPr="00D1201F">
        <w:rPr>
          <w:sz w:val="24"/>
          <w:szCs w:val="24"/>
        </w:rPr>
        <w:t xml:space="preserve"> required under Local Rule 56-1 shall be prepared in a </w:t>
      </w:r>
      <w:r w:rsidR="00124D4C">
        <w:rPr>
          <w:sz w:val="24"/>
          <w:szCs w:val="24"/>
        </w:rPr>
        <w:t>four</w:t>
      </w:r>
      <w:r w:rsidRPr="00D1201F">
        <w:rPr>
          <w:sz w:val="24"/>
          <w:szCs w:val="24"/>
        </w:rPr>
        <w:t>-column table, as shown below. The</w:t>
      </w:r>
      <w:r w:rsidRPr="00D1201F" w:rsidDel="00B50CF7">
        <w:rPr>
          <w:sz w:val="24"/>
          <w:szCs w:val="24"/>
        </w:rPr>
        <w:t xml:space="preserve"> </w:t>
      </w:r>
      <w:r w:rsidR="00B50CF7">
        <w:rPr>
          <w:sz w:val="24"/>
          <w:szCs w:val="24"/>
        </w:rPr>
        <w:t>first</w:t>
      </w:r>
      <w:r w:rsidR="00B50CF7" w:rsidRPr="00D1201F">
        <w:rPr>
          <w:sz w:val="24"/>
          <w:szCs w:val="24"/>
        </w:rPr>
        <w:t xml:space="preserve"> </w:t>
      </w:r>
      <w:r w:rsidRPr="00D1201F">
        <w:rPr>
          <w:sz w:val="24"/>
          <w:szCs w:val="24"/>
        </w:rPr>
        <w:t>column sets forth the allegedly undisputed fact</w:t>
      </w:r>
      <w:r w:rsidR="00B50CF7">
        <w:rPr>
          <w:sz w:val="24"/>
          <w:szCs w:val="24"/>
        </w:rPr>
        <w:t xml:space="preserve">, along with </w:t>
      </w:r>
      <w:r w:rsidRPr="00D1201F">
        <w:rPr>
          <w:sz w:val="24"/>
          <w:szCs w:val="24"/>
        </w:rPr>
        <w:t xml:space="preserve">the evidence that supports the factual statement. The factual statements should be set forth in sequentially numbered paragraphs. Each paragraph should contain a narrowly focused statement of fact. Each numbered paragraph should address a single subject as concisely as possible. </w:t>
      </w:r>
      <w:r w:rsidR="00B50CF7">
        <w:rPr>
          <w:sz w:val="24"/>
          <w:szCs w:val="24"/>
        </w:rPr>
        <w:t xml:space="preserve">The second column should list whether the allegedly undisputed fact is disputed or undisputed by the opposing party. The third column should contain additional information regarding the basis for any dispute. </w:t>
      </w:r>
      <w:r w:rsidR="00635FB9" w:rsidRPr="00D1201F">
        <w:rPr>
          <w:sz w:val="24"/>
          <w:szCs w:val="24"/>
        </w:rPr>
        <w:t>If the fact is undisputed, no further response is required.</w:t>
      </w:r>
      <w:r w:rsidR="00635FB9">
        <w:rPr>
          <w:sz w:val="24"/>
          <w:szCs w:val="24"/>
        </w:rPr>
        <w:t xml:space="preserve"> </w:t>
      </w:r>
      <w:r w:rsidR="00B50CF7">
        <w:rPr>
          <w:sz w:val="24"/>
          <w:szCs w:val="24"/>
        </w:rPr>
        <w:t xml:space="preserve">The </w:t>
      </w:r>
      <w:r w:rsidR="00227E27">
        <w:rPr>
          <w:sz w:val="24"/>
          <w:szCs w:val="24"/>
        </w:rPr>
        <w:t xml:space="preserve">non-moving </w:t>
      </w:r>
      <w:r w:rsidR="00B50CF7">
        <w:rPr>
          <w:sz w:val="24"/>
          <w:szCs w:val="24"/>
        </w:rPr>
        <w:t xml:space="preserve">party </w:t>
      </w:r>
      <w:r w:rsidR="00B50CF7" w:rsidRPr="00D1201F">
        <w:rPr>
          <w:sz w:val="24"/>
          <w:szCs w:val="24"/>
        </w:rPr>
        <w:t xml:space="preserve">may dispute all or only a portion of the </w:t>
      </w:r>
      <w:r w:rsidR="00B50CF7">
        <w:rPr>
          <w:sz w:val="24"/>
          <w:szCs w:val="24"/>
        </w:rPr>
        <w:t>statement</w:t>
      </w:r>
      <w:r w:rsidR="00B50CF7" w:rsidRPr="00D1201F">
        <w:rPr>
          <w:sz w:val="24"/>
          <w:szCs w:val="24"/>
        </w:rPr>
        <w:t xml:space="preserve">, but if disputing only a portion, it must clearly indicate what </w:t>
      </w:r>
      <w:r w:rsidR="00B50CF7">
        <w:rPr>
          <w:sz w:val="24"/>
          <w:szCs w:val="24"/>
        </w:rPr>
        <w:t>portion</w:t>
      </w:r>
      <w:r w:rsidR="00B50CF7" w:rsidRPr="00D1201F">
        <w:rPr>
          <w:sz w:val="24"/>
          <w:szCs w:val="24"/>
        </w:rPr>
        <w:t xml:space="preserve"> is being disputed, followed by a brief citation to the </w:t>
      </w:r>
      <w:r w:rsidR="00227E27">
        <w:rPr>
          <w:sz w:val="24"/>
          <w:szCs w:val="24"/>
        </w:rPr>
        <w:t xml:space="preserve">non-moving </w:t>
      </w:r>
      <w:r w:rsidR="00B50CF7" w:rsidRPr="00D1201F">
        <w:rPr>
          <w:sz w:val="24"/>
          <w:szCs w:val="24"/>
        </w:rPr>
        <w:t xml:space="preserve">party’s evidence controverting the fact. To demonstrate that a fact is disputed, the </w:t>
      </w:r>
      <w:r w:rsidR="00227E27">
        <w:rPr>
          <w:sz w:val="24"/>
          <w:szCs w:val="24"/>
        </w:rPr>
        <w:t xml:space="preserve">non-moving </w:t>
      </w:r>
      <w:r w:rsidR="00B50CF7" w:rsidRPr="00D1201F">
        <w:rPr>
          <w:sz w:val="24"/>
          <w:szCs w:val="24"/>
        </w:rPr>
        <w:t>party must briefly state why it disputes the moving party’s asserted fact, cite to the relevant exhibit or other evidence, and describe the reason(s) the exhibit or evidence refutes the asserted fact. No legal argument should be set forth in this document.</w:t>
      </w:r>
      <w:r w:rsidR="00B50CF7">
        <w:rPr>
          <w:sz w:val="24"/>
          <w:szCs w:val="24"/>
        </w:rPr>
        <w:t xml:space="preserve"> </w:t>
      </w:r>
      <w:r w:rsidR="000840A4">
        <w:rPr>
          <w:sz w:val="24"/>
          <w:szCs w:val="24"/>
        </w:rPr>
        <w:t>In t</w:t>
      </w:r>
      <w:r w:rsidR="00B50CF7">
        <w:rPr>
          <w:sz w:val="24"/>
          <w:szCs w:val="24"/>
        </w:rPr>
        <w:t>he fourth column</w:t>
      </w:r>
      <w:r w:rsidR="000840A4">
        <w:rPr>
          <w:sz w:val="24"/>
          <w:szCs w:val="24"/>
        </w:rPr>
        <w:t>,</w:t>
      </w:r>
      <w:r w:rsidR="00B50CF7">
        <w:rPr>
          <w:sz w:val="24"/>
          <w:szCs w:val="24"/>
        </w:rPr>
        <w:t xml:space="preserve"> </w:t>
      </w:r>
      <w:r w:rsidR="000840A4">
        <w:rPr>
          <w:sz w:val="24"/>
          <w:szCs w:val="24"/>
        </w:rPr>
        <w:t>the</w:t>
      </w:r>
      <w:r w:rsidR="004C1429" w:rsidRPr="00D1201F">
        <w:rPr>
          <w:sz w:val="24"/>
          <w:szCs w:val="24"/>
        </w:rPr>
        <w:t xml:space="preserve"> moving party may provide a response to the </w:t>
      </w:r>
      <w:r w:rsidR="004C1429" w:rsidRPr="00D1201F">
        <w:rPr>
          <w:sz w:val="24"/>
          <w:szCs w:val="24"/>
        </w:rPr>
        <w:lastRenderedPageBreak/>
        <w:t>opposing party’s reason for dispute, including any reason why the evidence cited by the opposing party does not create a genuine dispute and/or any additional evidence relevant to the asserted fact.</w:t>
      </w:r>
      <w:r w:rsidR="002E3C0A">
        <w:rPr>
          <w:sz w:val="24"/>
          <w:szCs w:val="24"/>
        </w:rPr>
        <w:t xml:space="preserve"> </w:t>
      </w:r>
      <w:r w:rsidR="002E3C0A" w:rsidRPr="00D1201F">
        <w:rPr>
          <w:sz w:val="24"/>
          <w:szCs w:val="24"/>
        </w:rPr>
        <w:t xml:space="preserve">All facts asserted by either party, whether disputed or undisputed, and all supporting evidence cited, shall be included in the </w:t>
      </w:r>
      <w:r w:rsidR="002E3C0A">
        <w:rPr>
          <w:sz w:val="24"/>
          <w:szCs w:val="24"/>
        </w:rPr>
        <w:t>r</w:t>
      </w:r>
      <w:r w:rsidR="002E3C0A" w:rsidRPr="00D1201F">
        <w:rPr>
          <w:sz w:val="24"/>
          <w:szCs w:val="24"/>
        </w:rPr>
        <w:t xml:space="preserve">esponse. </w:t>
      </w:r>
      <w:r w:rsidR="002E3C0A" w:rsidRPr="00D4237C">
        <w:rPr>
          <w:sz w:val="24"/>
          <w:szCs w:val="24"/>
        </w:rPr>
        <w:t xml:space="preserve">Do not repeat descriptions of and citations to the evidence. </w:t>
      </w:r>
      <w:r w:rsidR="002E3C0A" w:rsidRPr="00D1201F">
        <w:rPr>
          <w:sz w:val="24"/>
          <w:szCs w:val="24"/>
        </w:rPr>
        <w:t>If you have already described and cited the evidence once, simply refer to the earlier citation succinctly (</w:t>
      </w:r>
      <w:r w:rsidR="002E3C0A" w:rsidRPr="003F5AD3">
        <w:rPr>
          <w:i/>
          <w:iCs/>
          <w:sz w:val="24"/>
          <w:szCs w:val="24"/>
        </w:rPr>
        <w:t>e.g.</w:t>
      </w:r>
      <w:r w:rsidR="002E3C0A" w:rsidRPr="00D1201F">
        <w:rPr>
          <w:sz w:val="24"/>
          <w:szCs w:val="24"/>
        </w:rPr>
        <w:t>, “</w:t>
      </w:r>
      <w:r w:rsidR="002E3C0A" w:rsidRPr="00D1201F">
        <w:rPr>
          <w:i/>
          <w:iCs/>
          <w:sz w:val="24"/>
          <w:szCs w:val="24"/>
        </w:rPr>
        <w:t xml:space="preserve">See </w:t>
      </w:r>
      <w:proofErr w:type="gramStart"/>
      <w:r w:rsidR="002E3C0A" w:rsidRPr="00D1201F">
        <w:rPr>
          <w:i/>
          <w:iCs/>
          <w:sz w:val="24"/>
          <w:szCs w:val="24"/>
        </w:rPr>
        <w:t>supra</w:t>
      </w:r>
      <w:r w:rsidR="002E3C0A" w:rsidRPr="00D1201F">
        <w:rPr>
          <w:sz w:val="24"/>
          <w:szCs w:val="24"/>
        </w:rPr>
        <w:t xml:space="preserve"> Fact</w:t>
      </w:r>
      <w:proofErr w:type="gramEnd"/>
      <w:r w:rsidR="002E3C0A" w:rsidRPr="00D1201F">
        <w:rPr>
          <w:sz w:val="24"/>
          <w:szCs w:val="24"/>
        </w:rPr>
        <w:t xml:space="preserve"> # 1”).</w:t>
      </w:r>
    </w:p>
    <w:p w14:paraId="0DCA18CC" w14:textId="77777777" w:rsidR="00B50CF7" w:rsidRDefault="00B50CF7" w:rsidP="001C0DC7">
      <w:pPr>
        <w:ind w:firstLine="720"/>
        <w:rPr>
          <w:sz w:val="24"/>
          <w:szCs w:val="24"/>
        </w:rPr>
      </w:pPr>
    </w:p>
    <w:tbl>
      <w:tblPr>
        <w:tblStyle w:val="TableGrid"/>
        <w:tblW w:w="0" w:type="auto"/>
        <w:tblLook w:val="04A0" w:firstRow="1" w:lastRow="0" w:firstColumn="1" w:lastColumn="0" w:noHBand="0" w:noVBand="1"/>
      </w:tblPr>
      <w:tblGrid>
        <w:gridCol w:w="2427"/>
        <w:gridCol w:w="2427"/>
        <w:gridCol w:w="2428"/>
        <w:gridCol w:w="2428"/>
      </w:tblGrid>
      <w:tr w:rsidR="00124D4C" w14:paraId="49789603" w14:textId="77777777" w:rsidTr="00124D4C">
        <w:tc>
          <w:tcPr>
            <w:tcW w:w="2427" w:type="dxa"/>
          </w:tcPr>
          <w:p w14:paraId="640EF878" w14:textId="25A5A0E1" w:rsidR="00124D4C" w:rsidRPr="001E027C" w:rsidRDefault="00124D4C" w:rsidP="001E027C">
            <w:pPr>
              <w:jc w:val="center"/>
              <w:rPr>
                <w:b/>
                <w:sz w:val="24"/>
                <w:szCs w:val="24"/>
              </w:rPr>
            </w:pPr>
            <w:r>
              <w:rPr>
                <w:b/>
                <w:bCs/>
                <w:sz w:val="24"/>
                <w:szCs w:val="24"/>
              </w:rPr>
              <w:t>Undisputed Fact</w:t>
            </w:r>
          </w:p>
        </w:tc>
        <w:tc>
          <w:tcPr>
            <w:tcW w:w="2427" w:type="dxa"/>
          </w:tcPr>
          <w:p w14:paraId="2D5EFEE4" w14:textId="7D153A38" w:rsidR="00124D4C" w:rsidRPr="001E027C" w:rsidRDefault="00124D4C" w:rsidP="001E027C">
            <w:pPr>
              <w:jc w:val="center"/>
              <w:rPr>
                <w:b/>
                <w:sz w:val="24"/>
                <w:szCs w:val="24"/>
              </w:rPr>
            </w:pPr>
            <w:r>
              <w:rPr>
                <w:b/>
                <w:bCs/>
                <w:sz w:val="24"/>
                <w:szCs w:val="24"/>
              </w:rPr>
              <w:t>Status</w:t>
            </w:r>
          </w:p>
        </w:tc>
        <w:tc>
          <w:tcPr>
            <w:tcW w:w="2428" w:type="dxa"/>
          </w:tcPr>
          <w:p w14:paraId="30654EDD" w14:textId="2441901D" w:rsidR="00124D4C" w:rsidRPr="001E027C" w:rsidRDefault="00124D4C" w:rsidP="001E027C">
            <w:pPr>
              <w:jc w:val="center"/>
              <w:rPr>
                <w:b/>
                <w:sz w:val="24"/>
                <w:szCs w:val="24"/>
              </w:rPr>
            </w:pPr>
            <w:r>
              <w:rPr>
                <w:b/>
                <w:bCs/>
                <w:sz w:val="24"/>
                <w:szCs w:val="24"/>
              </w:rPr>
              <w:t>Opposition</w:t>
            </w:r>
          </w:p>
        </w:tc>
        <w:tc>
          <w:tcPr>
            <w:tcW w:w="2428" w:type="dxa"/>
          </w:tcPr>
          <w:p w14:paraId="398F4C8D" w14:textId="693A9155" w:rsidR="00124D4C" w:rsidRPr="001E027C" w:rsidRDefault="00124D4C" w:rsidP="001E027C">
            <w:pPr>
              <w:jc w:val="center"/>
              <w:rPr>
                <w:b/>
                <w:sz w:val="24"/>
                <w:szCs w:val="24"/>
              </w:rPr>
            </w:pPr>
            <w:r>
              <w:rPr>
                <w:b/>
                <w:bCs/>
                <w:sz w:val="24"/>
                <w:szCs w:val="24"/>
              </w:rPr>
              <w:t>Reply</w:t>
            </w:r>
          </w:p>
        </w:tc>
      </w:tr>
      <w:tr w:rsidR="00124D4C" w14:paraId="3837E621" w14:textId="77777777" w:rsidTr="00124D4C">
        <w:tc>
          <w:tcPr>
            <w:tcW w:w="2427" w:type="dxa"/>
          </w:tcPr>
          <w:p w14:paraId="321FD44C" w14:textId="707D6944" w:rsidR="00124D4C" w:rsidRDefault="00124D4C" w:rsidP="001E027C">
            <w:pPr>
              <w:spacing w:line="240" w:lineRule="auto"/>
              <w:rPr>
                <w:sz w:val="24"/>
                <w:szCs w:val="24"/>
              </w:rPr>
            </w:pPr>
            <w:r w:rsidRPr="00B3097D">
              <w:rPr>
                <w:sz w:val="24"/>
                <w:szCs w:val="24"/>
              </w:rPr>
              <w:t>1.  Mike and Jane signed a contract for the sale and purchase of property.</w:t>
            </w:r>
            <w:r>
              <w:rPr>
                <w:sz w:val="24"/>
                <w:szCs w:val="24"/>
              </w:rPr>
              <w:t xml:space="preserve"> </w:t>
            </w:r>
            <w:r w:rsidRPr="00124D4C">
              <w:rPr>
                <w:sz w:val="24"/>
                <w:szCs w:val="24"/>
              </w:rPr>
              <w:t>Smith Decl. (</w:t>
            </w:r>
            <w:proofErr w:type="spellStart"/>
            <w:r w:rsidRPr="00124D4C">
              <w:rPr>
                <w:sz w:val="24"/>
                <w:szCs w:val="24"/>
              </w:rPr>
              <w:t>Dkt</w:t>
            </w:r>
            <w:proofErr w:type="spellEnd"/>
            <w:r w:rsidRPr="00124D4C">
              <w:rPr>
                <w:sz w:val="24"/>
                <w:szCs w:val="24"/>
              </w:rPr>
              <w:t>. No. 61-2) ¶ 5, Ex. 6.</w:t>
            </w:r>
          </w:p>
        </w:tc>
        <w:tc>
          <w:tcPr>
            <w:tcW w:w="2427" w:type="dxa"/>
          </w:tcPr>
          <w:p w14:paraId="0A202DF8" w14:textId="4360163E" w:rsidR="00124D4C" w:rsidRDefault="0060753B" w:rsidP="006367E8">
            <w:pPr>
              <w:rPr>
                <w:sz w:val="24"/>
                <w:szCs w:val="24"/>
              </w:rPr>
            </w:pPr>
            <w:r>
              <w:rPr>
                <w:sz w:val="24"/>
                <w:szCs w:val="24"/>
              </w:rPr>
              <w:t>Undisputed</w:t>
            </w:r>
          </w:p>
        </w:tc>
        <w:tc>
          <w:tcPr>
            <w:tcW w:w="2428" w:type="dxa"/>
          </w:tcPr>
          <w:p w14:paraId="0F904C14" w14:textId="285184A6" w:rsidR="00124D4C" w:rsidRDefault="0060753B" w:rsidP="001E027C">
            <w:pPr>
              <w:spacing w:line="240" w:lineRule="auto"/>
              <w:rPr>
                <w:sz w:val="24"/>
                <w:szCs w:val="24"/>
              </w:rPr>
            </w:pPr>
            <w:r>
              <w:rPr>
                <w:sz w:val="24"/>
                <w:szCs w:val="24"/>
              </w:rPr>
              <w:t>N/A</w:t>
            </w:r>
          </w:p>
        </w:tc>
        <w:tc>
          <w:tcPr>
            <w:tcW w:w="2428" w:type="dxa"/>
          </w:tcPr>
          <w:p w14:paraId="2DC34B99" w14:textId="70F430CA" w:rsidR="00124D4C" w:rsidRDefault="0060753B" w:rsidP="001E027C">
            <w:pPr>
              <w:spacing w:line="240" w:lineRule="auto"/>
              <w:rPr>
                <w:sz w:val="24"/>
                <w:szCs w:val="24"/>
              </w:rPr>
            </w:pPr>
            <w:r>
              <w:rPr>
                <w:sz w:val="24"/>
                <w:szCs w:val="24"/>
              </w:rPr>
              <w:t>N/A</w:t>
            </w:r>
          </w:p>
        </w:tc>
      </w:tr>
      <w:tr w:rsidR="00124D4C" w14:paraId="732E9250" w14:textId="77777777" w:rsidTr="00124D4C">
        <w:tc>
          <w:tcPr>
            <w:tcW w:w="2427" w:type="dxa"/>
          </w:tcPr>
          <w:p w14:paraId="538446A5" w14:textId="35B392A6" w:rsidR="00124D4C" w:rsidRDefault="00124D4C" w:rsidP="001E027C">
            <w:pPr>
              <w:spacing w:line="240" w:lineRule="auto"/>
              <w:rPr>
                <w:sz w:val="24"/>
                <w:szCs w:val="24"/>
              </w:rPr>
            </w:pPr>
            <w:r w:rsidRPr="00B3097D">
              <w:rPr>
                <w:sz w:val="24"/>
                <w:szCs w:val="24"/>
              </w:rPr>
              <w:t>2.  Jane mailed the contract in May 2017.</w:t>
            </w:r>
            <w:r>
              <w:rPr>
                <w:sz w:val="24"/>
                <w:szCs w:val="24"/>
              </w:rPr>
              <w:t xml:space="preserve"> </w:t>
            </w:r>
            <w:r w:rsidRPr="00124D4C">
              <w:rPr>
                <w:sz w:val="24"/>
                <w:szCs w:val="24"/>
              </w:rPr>
              <w:t>Smith Decl. ¶ 8, Ex. 21.</w:t>
            </w:r>
            <w:r w:rsidRPr="00B3097D">
              <w:rPr>
                <w:sz w:val="24"/>
                <w:szCs w:val="24"/>
              </w:rPr>
              <w:t xml:space="preserve">  </w:t>
            </w:r>
          </w:p>
        </w:tc>
        <w:tc>
          <w:tcPr>
            <w:tcW w:w="2427" w:type="dxa"/>
          </w:tcPr>
          <w:p w14:paraId="14970CCC" w14:textId="001A93ED" w:rsidR="00124D4C" w:rsidRDefault="00124D4C" w:rsidP="006367E8">
            <w:pPr>
              <w:rPr>
                <w:sz w:val="24"/>
                <w:szCs w:val="24"/>
              </w:rPr>
            </w:pPr>
            <w:r>
              <w:rPr>
                <w:sz w:val="24"/>
                <w:szCs w:val="24"/>
              </w:rPr>
              <w:t>Disputed</w:t>
            </w:r>
          </w:p>
        </w:tc>
        <w:tc>
          <w:tcPr>
            <w:tcW w:w="2428" w:type="dxa"/>
          </w:tcPr>
          <w:p w14:paraId="01D2B452" w14:textId="634D52F5" w:rsidR="00124D4C" w:rsidRDefault="00124D4C" w:rsidP="001E027C">
            <w:pPr>
              <w:spacing w:line="240" w:lineRule="auto"/>
              <w:rPr>
                <w:sz w:val="24"/>
                <w:szCs w:val="24"/>
              </w:rPr>
            </w:pPr>
            <w:r w:rsidRPr="00124D4C">
              <w:rPr>
                <w:sz w:val="24"/>
                <w:szCs w:val="24"/>
              </w:rPr>
              <w:t xml:space="preserve">Disputed as to date. Jane testified she mailed the contract in June 2017. Jane Depo. at 3:4-10.   </w:t>
            </w:r>
          </w:p>
        </w:tc>
        <w:tc>
          <w:tcPr>
            <w:tcW w:w="2428" w:type="dxa"/>
          </w:tcPr>
          <w:p w14:paraId="0B5C68D6" w14:textId="7446D8AD" w:rsidR="00124D4C" w:rsidRDefault="008A6592" w:rsidP="001E027C">
            <w:pPr>
              <w:spacing w:line="240" w:lineRule="auto"/>
              <w:rPr>
                <w:sz w:val="24"/>
                <w:szCs w:val="24"/>
              </w:rPr>
            </w:pPr>
            <w:r>
              <w:rPr>
                <w:sz w:val="24"/>
                <w:szCs w:val="24"/>
              </w:rPr>
              <w:t xml:space="preserve">Jane </w:t>
            </w:r>
            <w:r w:rsidR="0060753B">
              <w:rPr>
                <w:sz w:val="24"/>
                <w:szCs w:val="24"/>
              </w:rPr>
              <w:t xml:space="preserve">testified </w:t>
            </w:r>
            <w:r>
              <w:rPr>
                <w:sz w:val="24"/>
                <w:szCs w:val="24"/>
              </w:rPr>
              <w:t xml:space="preserve">later that although she initially stated that she mailed the contract in June 2017, she misspoke and </w:t>
            </w:r>
            <w:r w:rsidR="0060753B">
              <w:rPr>
                <w:sz w:val="24"/>
                <w:szCs w:val="24"/>
              </w:rPr>
              <w:t xml:space="preserve">clarified that she had </w:t>
            </w:r>
            <w:proofErr w:type="gramStart"/>
            <w:r w:rsidR="0060753B">
              <w:rPr>
                <w:sz w:val="24"/>
                <w:szCs w:val="24"/>
              </w:rPr>
              <w:t>actually mailed</w:t>
            </w:r>
            <w:proofErr w:type="gramEnd"/>
            <w:r w:rsidR="0060753B">
              <w:rPr>
                <w:sz w:val="24"/>
                <w:szCs w:val="24"/>
              </w:rPr>
              <w:t xml:space="preserve"> the contract in May 2017.</w:t>
            </w:r>
          </w:p>
        </w:tc>
      </w:tr>
    </w:tbl>
    <w:p w14:paraId="6DF53B04" w14:textId="77777777" w:rsidR="006367E8" w:rsidRDefault="006367E8" w:rsidP="006367E8">
      <w:pPr>
        <w:rPr>
          <w:sz w:val="24"/>
          <w:szCs w:val="24"/>
        </w:rPr>
      </w:pPr>
    </w:p>
    <w:p w14:paraId="31BED0E0" w14:textId="66B14F58" w:rsidR="006519D1" w:rsidRPr="00D1201F" w:rsidRDefault="0063005D" w:rsidP="001E027C">
      <w:pPr>
        <w:ind w:firstLine="720"/>
        <w:rPr>
          <w:b/>
          <w:bCs/>
          <w:sz w:val="24"/>
          <w:szCs w:val="24"/>
        </w:rPr>
      </w:pPr>
      <w:r>
        <w:rPr>
          <w:sz w:val="24"/>
          <w:szCs w:val="24"/>
        </w:rPr>
        <w:t xml:space="preserve">Statements of Uncontroverted Facts and Genuine Disputes </w:t>
      </w:r>
      <w:r w:rsidR="00B02A8B">
        <w:rPr>
          <w:sz w:val="24"/>
          <w:szCs w:val="24"/>
        </w:rPr>
        <w:t xml:space="preserve">shall </w:t>
      </w:r>
      <w:r w:rsidR="00B84113">
        <w:rPr>
          <w:sz w:val="24"/>
          <w:szCs w:val="24"/>
        </w:rPr>
        <w:t>also</w:t>
      </w:r>
      <w:r w:rsidR="00B02A8B">
        <w:rPr>
          <w:sz w:val="24"/>
          <w:szCs w:val="24"/>
        </w:rPr>
        <w:t xml:space="preserve"> be </w:t>
      </w:r>
      <w:r>
        <w:rPr>
          <w:sz w:val="24"/>
          <w:szCs w:val="24"/>
        </w:rPr>
        <w:t xml:space="preserve">in Excel, </w:t>
      </w:r>
      <w:r w:rsidRPr="00D1201F">
        <w:rPr>
          <w:sz w:val="24"/>
          <w:szCs w:val="24"/>
        </w:rPr>
        <w:t>have all restrictions removed so the spreadsheet</w:t>
      </w:r>
      <w:r>
        <w:rPr>
          <w:sz w:val="24"/>
          <w:szCs w:val="24"/>
        </w:rPr>
        <w:t>s</w:t>
      </w:r>
      <w:r w:rsidRPr="00D1201F">
        <w:rPr>
          <w:sz w:val="24"/>
          <w:szCs w:val="24"/>
        </w:rPr>
        <w:t xml:space="preserve"> can be edited</w:t>
      </w:r>
      <w:r>
        <w:rPr>
          <w:sz w:val="24"/>
          <w:szCs w:val="24"/>
        </w:rPr>
        <w:t>, and</w:t>
      </w:r>
      <w:r w:rsidRPr="00D1201F">
        <w:rPr>
          <w:sz w:val="24"/>
          <w:szCs w:val="24"/>
        </w:rPr>
        <w:t xml:space="preserve"> </w:t>
      </w:r>
      <w:r>
        <w:rPr>
          <w:sz w:val="24"/>
          <w:szCs w:val="24"/>
        </w:rPr>
        <w:t xml:space="preserve">be </w:t>
      </w:r>
      <w:r w:rsidRPr="00D1201F">
        <w:rPr>
          <w:sz w:val="24"/>
          <w:szCs w:val="24"/>
        </w:rPr>
        <w:t xml:space="preserve">emailed to the </w:t>
      </w:r>
      <w:r>
        <w:rPr>
          <w:sz w:val="24"/>
          <w:szCs w:val="24"/>
        </w:rPr>
        <w:t>C</w:t>
      </w:r>
      <w:r w:rsidRPr="00D1201F">
        <w:rPr>
          <w:sz w:val="24"/>
          <w:szCs w:val="24"/>
        </w:rPr>
        <w:t xml:space="preserve">ourt’s chambers email address at </w:t>
      </w:r>
      <w:r w:rsidRPr="006519D1">
        <w:rPr>
          <w:sz w:val="24"/>
          <w:szCs w:val="24"/>
        </w:rPr>
        <w:t>MEMF_Chambers@cacd.uscourts.gov</w:t>
      </w:r>
      <w:r w:rsidRPr="00D1201F">
        <w:rPr>
          <w:sz w:val="24"/>
          <w:szCs w:val="24"/>
        </w:rPr>
        <w:t xml:space="preserve">.  </w:t>
      </w:r>
    </w:p>
    <w:p w14:paraId="10D4C81A" w14:textId="72F7AB3C" w:rsidR="00B238DE" w:rsidRPr="001E027C" w:rsidRDefault="00B238DE" w:rsidP="001E027C">
      <w:pPr>
        <w:pStyle w:val="ListParagraph"/>
        <w:numPr>
          <w:ilvl w:val="2"/>
          <w:numId w:val="26"/>
        </w:numPr>
        <w:spacing w:before="240" w:after="240" w:line="240" w:lineRule="auto"/>
        <w:ind w:left="2174" w:hanging="187"/>
        <w:contextualSpacing w:val="0"/>
        <w:rPr>
          <w:sz w:val="24"/>
          <w:szCs w:val="24"/>
          <w:u w:val="single"/>
        </w:rPr>
      </w:pPr>
      <w:r w:rsidRPr="001E027C">
        <w:rPr>
          <w:sz w:val="24"/>
          <w:szCs w:val="24"/>
        </w:rPr>
        <w:t xml:space="preserve"> </w:t>
      </w:r>
      <w:r w:rsidR="006E50F3">
        <w:rPr>
          <w:sz w:val="24"/>
          <w:szCs w:val="24"/>
        </w:rPr>
        <w:t xml:space="preserve"> </w:t>
      </w:r>
      <w:r>
        <w:rPr>
          <w:sz w:val="24"/>
          <w:szCs w:val="24"/>
          <w:u w:val="single"/>
        </w:rPr>
        <w:t xml:space="preserve">Non-Moving Party’s </w:t>
      </w:r>
      <w:r w:rsidRPr="006519D1">
        <w:rPr>
          <w:sz w:val="24"/>
          <w:szCs w:val="24"/>
          <w:u w:val="single"/>
        </w:rPr>
        <w:t>Statement of Uncontroverted Facts and Genuine Disputes</w:t>
      </w:r>
    </w:p>
    <w:p w14:paraId="436177B8" w14:textId="681587B5" w:rsidR="00C6285F" w:rsidRPr="00D1201F" w:rsidRDefault="006519D1" w:rsidP="001E027C">
      <w:pPr>
        <w:spacing w:before="120"/>
        <w:ind w:firstLine="720"/>
        <w:contextualSpacing/>
        <w:rPr>
          <w:sz w:val="24"/>
          <w:szCs w:val="24"/>
        </w:rPr>
      </w:pPr>
      <w:r w:rsidRPr="00D1201F">
        <w:rPr>
          <w:sz w:val="24"/>
          <w:szCs w:val="24"/>
        </w:rPr>
        <w:t>The</w:t>
      </w:r>
      <w:r w:rsidRPr="00D1201F" w:rsidDel="00B238DE">
        <w:rPr>
          <w:sz w:val="24"/>
          <w:szCs w:val="24"/>
        </w:rPr>
        <w:t xml:space="preserve"> </w:t>
      </w:r>
      <w:r w:rsidR="00B238DE">
        <w:rPr>
          <w:sz w:val="24"/>
          <w:szCs w:val="24"/>
        </w:rPr>
        <w:t>non-moving</w:t>
      </w:r>
      <w:r w:rsidR="00B238DE" w:rsidRPr="00D1201F">
        <w:rPr>
          <w:sz w:val="24"/>
          <w:szCs w:val="24"/>
        </w:rPr>
        <w:t xml:space="preserve"> </w:t>
      </w:r>
      <w:r w:rsidRPr="00D1201F">
        <w:rPr>
          <w:sz w:val="24"/>
          <w:szCs w:val="24"/>
        </w:rPr>
        <w:t>party may submit additional material facts that bear on or relate to the issues raised by the mov</w:t>
      </w:r>
      <w:r>
        <w:rPr>
          <w:sz w:val="24"/>
          <w:szCs w:val="24"/>
        </w:rPr>
        <w:t>ing party</w:t>
      </w:r>
      <w:r w:rsidRPr="00D1201F">
        <w:rPr>
          <w:sz w:val="24"/>
          <w:szCs w:val="24"/>
        </w:rPr>
        <w:t>, which shall</w:t>
      </w:r>
      <w:r w:rsidR="00946812">
        <w:rPr>
          <w:sz w:val="24"/>
          <w:szCs w:val="24"/>
        </w:rPr>
        <w:t xml:space="preserve"> be set forth in a separate </w:t>
      </w:r>
      <w:r w:rsidR="002E3C0A">
        <w:rPr>
          <w:sz w:val="24"/>
          <w:szCs w:val="24"/>
        </w:rPr>
        <w:t>joint statement of uncontroverted facts and</w:t>
      </w:r>
      <w:r w:rsidRPr="00D1201F">
        <w:rPr>
          <w:sz w:val="24"/>
          <w:szCs w:val="24"/>
        </w:rPr>
        <w:t xml:space="preserve"> follow the format described above for the moving party’s </w:t>
      </w:r>
      <w:r>
        <w:rPr>
          <w:sz w:val="24"/>
          <w:szCs w:val="24"/>
        </w:rPr>
        <w:t>separate statement</w:t>
      </w:r>
      <w:r w:rsidRPr="00D1201F">
        <w:rPr>
          <w:sz w:val="24"/>
          <w:szCs w:val="24"/>
        </w:rPr>
        <w:t>. These additional facts shall continue in sequentially numbered paragraphs</w:t>
      </w:r>
      <w:r w:rsidR="00513500">
        <w:rPr>
          <w:sz w:val="24"/>
          <w:szCs w:val="24"/>
        </w:rPr>
        <w:t xml:space="preserve"> with the evidence that supports each statement set </w:t>
      </w:r>
      <w:r w:rsidRPr="00D1201F">
        <w:rPr>
          <w:sz w:val="24"/>
          <w:szCs w:val="24"/>
        </w:rPr>
        <w:t>forth in the right</w:t>
      </w:r>
      <w:r>
        <w:rPr>
          <w:sz w:val="24"/>
          <w:szCs w:val="24"/>
        </w:rPr>
        <w:t xml:space="preserve"> </w:t>
      </w:r>
      <w:r w:rsidRPr="00D1201F">
        <w:rPr>
          <w:sz w:val="24"/>
          <w:szCs w:val="24"/>
        </w:rPr>
        <w:t>column</w:t>
      </w:r>
      <w:r w:rsidR="00513500">
        <w:rPr>
          <w:sz w:val="24"/>
          <w:szCs w:val="24"/>
        </w:rPr>
        <w:t>.</w:t>
      </w:r>
    </w:p>
    <w:p w14:paraId="290D9259" w14:textId="77777777" w:rsidR="003774F4" w:rsidRDefault="006519D1" w:rsidP="001E027C">
      <w:pPr>
        <w:spacing w:before="120"/>
        <w:ind w:firstLine="720"/>
        <w:contextualSpacing/>
        <w:rPr>
          <w:sz w:val="24"/>
          <w:szCs w:val="24"/>
        </w:rPr>
      </w:pPr>
      <w:r w:rsidRPr="00D1201F">
        <w:rPr>
          <w:sz w:val="24"/>
          <w:szCs w:val="24"/>
        </w:rPr>
        <w:lastRenderedPageBreak/>
        <w:t xml:space="preserve">With its </w:t>
      </w:r>
      <w:r w:rsidR="00B23E9F">
        <w:rPr>
          <w:sz w:val="24"/>
          <w:szCs w:val="24"/>
        </w:rPr>
        <w:t>R</w:t>
      </w:r>
      <w:r>
        <w:rPr>
          <w:sz w:val="24"/>
          <w:szCs w:val="24"/>
        </w:rPr>
        <w:t>eply</w:t>
      </w:r>
      <w:r w:rsidRPr="00D1201F">
        <w:rPr>
          <w:sz w:val="24"/>
          <w:szCs w:val="24"/>
        </w:rPr>
        <w:t xml:space="preserve">, the moving party </w:t>
      </w:r>
      <w:r w:rsidR="00B23E9F">
        <w:rPr>
          <w:sz w:val="24"/>
          <w:szCs w:val="24"/>
        </w:rPr>
        <w:t xml:space="preserve">shall identify whether the allegedly undisputed fact presented by the non-moving party is disputed or undisputed by the moving party. The statement shall include additional information regarding the basis for any dispute. </w:t>
      </w:r>
      <w:r w:rsidR="00B23E9F" w:rsidRPr="00D1201F">
        <w:rPr>
          <w:sz w:val="24"/>
          <w:szCs w:val="24"/>
        </w:rPr>
        <w:t>If the fact is undisputed, no further response is required.</w:t>
      </w:r>
      <w:r w:rsidR="00B23E9F">
        <w:rPr>
          <w:sz w:val="24"/>
          <w:szCs w:val="24"/>
        </w:rPr>
        <w:t xml:space="preserve"> </w:t>
      </w:r>
    </w:p>
    <w:p w14:paraId="7DD1DE36" w14:textId="7DA47446" w:rsidR="006519D1" w:rsidRPr="00D1201F" w:rsidRDefault="0063005D" w:rsidP="001E027C">
      <w:pPr>
        <w:spacing w:before="120"/>
        <w:ind w:firstLine="720"/>
        <w:contextualSpacing/>
        <w:rPr>
          <w:sz w:val="24"/>
          <w:szCs w:val="24"/>
        </w:rPr>
      </w:pPr>
      <w:r>
        <w:rPr>
          <w:sz w:val="24"/>
          <w:szCs w:val="24"/>
        </w:rPr>
        <w:t xml:space="preserve">Parties are required to </w:t>
      </w:r>
      <w:r w:rsidR="00B84113">
        <w:rPr>
          <w:sz w:val="24"/>
          <w:szCs w:val="24"/>
        </w:rPr>
        <w:t>also</w:t>
      </w:r>
      <w:r>
        <w:rPr>
          <w:sz w:val="24"/>
          <w:szCs w:val="24"/>
        </w:rPr>
        <w:t xml:space="preserve"> submit any Statements of Uncontroverted Facts and Genuine Disputes in Excel, </w:t>
      </w:r>
      <w:r w:rsidRPr="00D1201F">
        <w:rPr>
          <w:sz w:val="24"/>
          <w:szCs w:val="24"/>
        </w:rPr>
        <w:t>have all restrictions removed so the spreadsheet</w:t>
      </w:r>
      <w:r>
        <w:rPr>
          <w:sz w:val="24"/>
          <w:szCs w:val="24"/>
        </w:rPr>
        <w:t>s</w:t>
      </w:r>
      <w:r w:rsidRPr="00D1201F">
        <w:rPr>
          <w:sz w:val="24"/>
          <w:szCs w:val="24"/>
        </w:rPr>
        <w:t xml:space="preserve"> can be edited</w:t>
      </w:r>
      <w:r>
        <w:rPr>
          <w:sz w:val="24"/>
          <w:szCs w:val="24"/>
        </w:rPr>
        <w:t>, and</w:t>
      </w:r>
      <w:r w:rsidRPr="00D1201F">
        <w:rPr>
          <w:sz w:val="24"/>
          <w:szCs w:val="24"/>
        </w:rPr>
        <w:t xml:space="preserve"> </w:t>
      </w:r>
      <w:r>
        <w:rPr>
          <w:sz w:val="24"/>
          <w:szCs w:val="24"/>
        </w:rPr>
        <w:t xml:space="preserve">be </w:t>
      </w:r>
      <w:r w:rsidRPr="00D1201F">
        <w:rPr>
          <w:sz w:val="24"/>
          <w:szCs w:val="24"/>
        </w:rPr>
        <w:t xml:space="preserve">emailed to the </w:t>
      </w:r>
      <w:r>
        <w:rPr>
          <w:sz w:val="24"/>
          <w:szCs w:val="24"/>
        </w:rPr>
        <w:t>C</w:t>
      </w:r>
      <w:r w:rsidRPr="00D1201F">
        <w:rPr>
          <w:sz w:val="24"/>
          <w:szCs w:val="24"/>
        </w:rPr>
        <w:t xml:space="preserve">ourt’s chambers email address at </w:t>
      </w:r>
      <w:r w:rsidRPr="006519D1">
        <w:rPr>
          <w:sz w:val="24"/>
          <w:szCs w:val="24"/>
        </w:rPr>
        <w:t>MEMF_Chambers@cacd.uscourts.gov</w:t>
      </w:r>
      <w:r w:rsidRPr="00D1201F">
        <w:rPr>
          <w:sz w:val="24"/>
          <w:szCs w:val="24"/>
        </w:rPr>
        <w:t xml:space="preserve">.  </w:t>
      </w:r>
    </w:p>
    <w:p w14:paraId="08C286A7" w14:textId="7E2897A0" w:rsidR="000A02D1" w:rsidRPr="006519D1" w:rsidRDefault="006E50F3" w:rsidP="001E027C">
      <w:pPr>
        <w:pStyle w:val="ListParagraph"/>
        <w:numPr>
          <w:ilvl w:val="2"/>
          <w:numId w:val="26"/>
        </w:numPr>
        <w:rPr>
          <w:sz w:val="24"/>
          <w:szCs w:val="24"/>
          <w:u w:val="single"/>
        </w:rPr>
      </w:pPr>
      <w:r>
        <w:rPr>
          <w:sz w:val="24"/>
          <w:szCs w:val="24"/>
        </w:rPr>
        <w:t xml:space="preserve">  </w:t>
      </w:r>
      <w:r w:rsidR="00271762">
        <w:rPr>
          <w:sz w:val="24"/>
          <w:szCs w:val="24"/>
          <w:u w:val="single"/>
        </w:rPr>
        <w:t>Conclusions of Law</w:t>
      </w:r>
    </w:p>
    <w:p w14:paraId="5F48D93B" w14:textId="764DC032" w:rsidR="000A02D1" w:rsidRPr="001E027C" w:rsidRDefault="000A02D1" w:rsidP="006640F4">
      <w:pPr>
        <w:ind w:firstLine="720"/>
        <w:rPr>
          <w:sz w:val="24"/>
          <w:szCs w:val="24"/>
        </w:rPr>
      </w:pPr>
      <w:r w:rsidRPr="001E027C" w:rsidDel="006640F4">
        <w:rPr>
          <w:sz w:val="24"/>
          <w:szCs w:val="24"/>
        </w:rPr>
        <w:t>Each</w:t>
      </w:r>
      <w:r w:rsidR="006640F4" w:rsidRPr="001E027C">
        <w:rPr>
          <w:sz w:val="24"/>
          <w:szCs w:val="24"/>
        </w:rPr>
        <w:t xml:space="preserve"> Statement of Uncontroverted Facts and Genuine Disputes shall be followed by a “Conclusions of Law” section</w:t>
      </w:r>
      <w:r w:rsidR="00685C9C" w:rsidRPr="001E027C">
        <w:rPr>
          <w:sz w:val="24"/>
          <w:szCs w:val="24"/>
        </w:rPr>
        <w:t>, consisting of a chart with two columns</w:t>
      </w:r>
      <w:r w:rsidR="00AD46B6" w:rsidRPr="001E027C">
        <w:rPr>
          <w:sz w:val="24"/>
          <w:szCs w:val="24"/>
        </w:rPr>
        <w:t xml:space="preserve">. </w:t>
      </w:r>
      <w:r w:rsidR="00961E63" w:rsidRPr="001E027C">
        <w:rPr>
          <w:sz w:val="24"/>
          <w:szCs w:val="24"/>
        </w:rPr>
        <w:t>The party presenting each set of allegedly uncontroverted facts</w:t>
      </w:r>
      <w:r w:rsidR="00AD46B6" w:rsidRPr="001E027C">
        <w:rPr>
          <w:sz w:val="24"/>
          <w:szCs w:val="24"/>
        </w:rPr>
        <w:t xml:space="preserve"> </w:t>
      </w:r>
      <w:r w:rsidR="00961E63" w:rsidRPr="001E027C">
        <w:rPr>
          <w:sz w:val="24"/>
          <w:szCs w:val="24"/>
        </w:rPr>
        <w:t>s</w:t>
      </w:r>
      <w:r w:rsidR="00AD46B6" w:rsidRPr="001E027C">
        <w:rPr>
          <w:sz w:val="24"/>
          <w:szCs w:val="24"/>
        </w:rPr>
        <w:t>hall set forth</w:t>
      </w:r>
      <w:r w:rsidR="00E0048E" w:rsidRPr="001E027C">
        <w:rPr>
          <w:sz w:val="24"/>
          <w:szCs w:val="24"/>
        </w:rPr>
        <w:t xml:space="preserve"> each conclusion of law, followed by the number of each relevant fact,</w:t>
      </w:r>
      <w:r w:rsidR="00AD46B6" w:rsidRPr="001E027C">
        <w:rPr>
          <w:sz w:val="24"/>
          <w:szCs w:val="24"/>
        </w:rPr>
        <w:t xml:space="preserve"> as follows: </w:t>
      </w:r>
    </w:p>
    <w:p w14:paraId="797AF197" w14:textId="77777777" w:rsidR="00685C9C" w:rsidRDefault="00685C9C" w:rsidP="006640F4">
      <w:pPr>
        <w:ind w:firstLine="720"/>
        <w:rPr>
          <w:sz w:val="24"/>
          <w:szCs w:val="24"/>
          <w:u w:val="single"/>
        </w:rPr>
      </w:pPr>
    </w:p>
    <w:tbl>
      <w:tblPr>
        <w:tblStyle w:val="TableGrid"/>
        <w:tblW w:w="0" w:type="auto"/>
        <w:tblLook w:val="04A0" w:firstRow="1" w:lastRow="0" w:firstColumn="1" w:lastColumn="0" w:noHBand="0" w:noVBand="1"/>
      </w:tblPr>
      <w:tblGrid>
        <w:gridCol w:w="4855"/>
        <w:gridCol w:w="4855"/>
      </w:tblGrid>
      <w:tr w:rsidR="00685C9C" w14:paraId="3CEEAB4E" w14:textId="77777777" w:rsidTr="00685C9C">
        <w:tc>
          <w:tcPr>
            <w:tcW w:w="4855" w:type="dxa"/>
          </w:tcPr>
          <w:p w14:paraId="7DBCA0F6" w14:textId="16FBF3DB" w:rsidR="00685C9C" w:rsidRPr="001E027C" w:rsidRDefault="00685C9C" w:rsidP="001E027C">
            <w:pPr>
              <w:jc w:val="center"/>
              <w:rPr>
                <w:b/>
                <w:sz w:val="24"/>
                <w:szCs w:val="24"/>
                <w:u w:val="single"/>
              </w:rPr>
            </w:pPr>
            <w:r w:rsidRPr="001E027C">
              <w:rPr>
                <w:b/>
                <w:sz w:val="24"/>
                <w:szCs w:val="24"/>
                <w:u w:val="single"/>
              </w:rPr>
              <w:t>Conclusions of Law</w:t>
            </w:r>
          </w:p>
        </w:tc>
        <w:tc>
          <w:tcPr>
            <w:tcW w:w="4855" w:type="dxa"/>
          </w:tcPr>
          <w:p w14:paraId="4877F494" w14:textId="56BA5EC1" w:rsidR="00685C9C" w:rsidRPr="001E027C" w:rsidRDefault="00685C9C" w:rsidP="001E027C">
            <w:pPr>
              <w:jc w:val="center"/>
              <w:rPr>
                <w:b/>
                <w:sz w:val="24"/>
                <w:szCs w:val="24"/>
                <w:u w:val="single"/>
              </w:rPr>
            </w:pPr>
            <w:r>
              <w:rPr>
                <w:b/>
                <w:bCs/>
                <w:sz w:val="24"/>
                <w:szCs w:val="24"/>
                <w:u w:val="single"/>
              </w:rPr>
              <w:t>Relevant Facts</w:t>
            </w:r>
          </w:p>
        </w:tc>
      </w:tr>
      <w:tr w:rsidR="00685C9C" w14:paraId="24776CD2" w14:textId="77777777" w:rsidTr="00685C9C">
        <w:tc>
          <w:tcPr>
            <w:tcW w:w="4855" w:type="dxa"/>
          </w:tcPr>
          <w:p w14:paraId="2B2EAB80" w14:textId="3F137651" w:rsidR="00685C9C" w:rsidRPr="001E027C" w:rsidRDefault="00685C9C" w:rsidP="001E027C">
            <w:pPr>
              <w:spacing w:line="240" w:lineRule="auto"/>
              <w:rPr>
                <w:sz w:val="24"/>
                <w:szCs w:val="24"/>
              </w:rPr>
            </w:pPr>
            <w:r w:rsidRPr="001E027C">
              <w:rPr>
                <w:sz w:val="24"/>
                <w:szCs w:val="24"/>
              </w:rPr>
              <w:t>Plaintiff’s claim for ____ is barred by the applicable statute of limitations.</w:t>
            </w:r>
          </w:p>
        </w:tc>
        <w:tc>
          <w:tcPr>
            <w:tcW w:w="4855" w:type="dxa"/>
          </w:tcPr>
          <w:p w14:paraId="38761103" w14:textId="7CFFF370" w:rsidR="00685C9C" w:rsidRPr="001E027C" w:rsidRDefault="00685C9C" w:rsidP="006640F4">
            <w:pPr>
              <w:rPr>
                <w:sz w:val="24"/>
                <w:szCs w:val="24"/>
              </w:rPr>
            </w:pPr>
            <w:r>
              <w:rPr>
                <w:sz w:val="24"/>
                <w:szCs w:val="24"/>
              </w:rPr>
              <w:t>Fact</w:t>
            </w:r>
            <w:r w:rsidR="0058146C">
              <w:rPr>
                <w:sz w:val="24"/>
                <w:szCs w:val="24"/>
              </w:rPr>
              <w:t>s 1, 3, 4</w:t>
            </w:r>
          </w:p>
        </w:tc>
      </w:tr>
      <w:tr w:rsidR="0058146C" w14:paraId="49C3B9C4" w14:textId="77777777" w:rsidTr="00685C9C">
        <w:tc>
          <w:tcPr>
            <w:tcW w:w="4855" w:type="dxa"/>
          </w:tcPr>
          <w:p w14:paraId="149667C5" w14:textId="547BA947" w:rsidR="0058146C" w:rsidRDefault="0058146C" w:rsidP="0058146C">
            <w:pPr>
              <w:rPr>
                <w:sz w:val="24"/>
                <w:szCs w:val="24"/>
                <w:u w:val="single"/>
              </w:rPr>
            </w:pPr>
            <w:r w:rsidRPr="004C4625">
              <w:rPr>
                <w:sz w:val="24"/>
                <w:szCs w:val="24"/>
              </w:rPr>
              <w:t>Plaintiff</w:t>
            </w:r>
            <w:r>
              <w:rPr>
                <w:sz w:val="24"/>
                <w:szCs w:val="24"/>
              </w:rPr>
              <w:t xml:space="preserve"> cannot prove ____.</w:t>
            </w:r>
          </w:p>
        </w:tc>
        <w:tc>
          <w:tcPr>
            <w:tcW w:w="4855" w:type="dxa"/>
          </w:tcPr>
          <w:p w14:paraId="69179BDF" w14:textId="1025B1AB" w:rsidR="0058146C" w:rsidRPr="00E77FC2" w:rsidRDefault="0058146C" w:rsidP="0058146C">
            <w:pPr>
              <w:rPr>
                <w:sz w:val="24"/>
                <w:szCs w:val="24"/>
              </w:rPr>
            </w:pPr>
            <w:r w:rsidRPr="00E77FC2">
              <w:rPr>
                <w:sz w:val="24"/>
                <w:szCs w:val="24"/>
              </w:rPr>
              <w:t>Facts 5, 7, 9</w:t>
            </w:r>
          </w:p>
        </w:tc>
      </w:tr>
    </w:tbl>
    <w:p w14:paraId="0A28A2DD" w14:textId="77777777" w:rsidR="00ED37E0" w:rsidRPr="001E027C" w:rsidRDefault="00ED37E0" w:rsidP="001E027C">
      <w:pPr>
        <w:rPr>
          <w:sz w:val="24"/>
          <w:szCs w:val="24"/>
          <w:u w:val="single"/>
        </w:rPr>
      </w:pPr>
    </w:p>
    <w:p w14:paraId="0D5811DB" w14:textId="061B141A" w:rsidR="006519D1" w:rsidRPr="006519D1" w:rsidRDefault="006E50F3" w:rsidP="001E027C">
      <w:pPr>
        <w:pStyle w:val="ListParagraph"/>
        <w:numPr>
          <w:ilvl w:val="2"/>
          <w:numId w:val="26"/>
        </w:numPr>
        <w:ind w:left="2174" w:hanging="187"/>
        <w:rPr>
          <w:sz w:val="24"/>
          <w:szCs w:val="24"/>
          <w:u w:val="single"/>
        </w:rPr>
      </w:pPr>
      <w:r>
        <w:rPr>
          <w:sz w:val="24"/>
          <w:szCs w:val="24"/>
        </w:rPr>
        <w:t xml:space="preserve">  </w:t>
      </w:r>
      <w:r w:rsidR="006519D1">
        <w:rPr>
          <w:sz w:val="24"/>
          <w:szCs w:val="24"/>
          <w:u w:val="single"/>
        </w:rPr>
        <w:t>Supporting Evidence</w:t>
      </w:r>
    </w:p>
    <w:p w14:paraId="3A989CCA" w14:textId="77777777" w:rsidR="00820746" w:rsidRDefault="004F7BD5" w:rsidP="001E027C">
      <w:pPr>
        <w:ind w:firstLine="720"/>
        <w:rPr>
          <w:sz w:val="24"/>
          <w:szCs w:val="24"/>
        </w:rPr>
      </w:pPr>
      <w:r w:rsidRPr="004F7BD5">
        <w:rPr>
          <w:sz w:val="24"/>
          <w:szCs w:val="24"/>
        </w:rPr>
        <w:t xml:space="preserve">The joint brief shall be accompanied by one separate, tabbed appendix of declarations and written evidence (including documents, photographs, deposition excerpts, etc.). </w:t>
      </w:r>
      <w:r w:rsidRPr="001E027C">
        <w:rPr>
          <w:i/>
          <w:sz w:val="24"/>
          <w:szCs w:val="24"/>
        </w:rPr>
        <w:t>See</w:t>
      </w:r>
      <w:r w:rsidRPr="004F7BD5">
        <w:rPr>
          <w:sz w:val="24"/>
          <w:szCs w:val="24"/>
        </w:rPr>
        <w:t xml:space="preserve"> Local Rule 7-6</w:t>
      </w:r>
      <w:r w:rsidR="00482DF7">
        <w:rPr>
          <w:sz w:val="24"/>
          <w:szCs w:val="24"/>
        </w:rPr>
        <w:t>.</w:t>
      </w:r>
      <w:r w:rsidRPr="004F7BD5" w:rsidDel="00482DF7">
        <w:rPr>
          <w:sz w:val="24"/>
          <w:szCs w:val="24"/>
        </w:rPr>
        <w:t xml:space="preserve"> </w:t>
      </w:r>
      <w:r w:rsidR="00ED2B6A">
        <w:rPr>
          <w:sz w:val="24"/>
          <w:szCs w:val="24"/>
        </w:rPr>
        <w:t xml:space="preserve">The joint brief and its supporting materials shall be submitted as one CM/ECF filing, with each </w:t>
      </w:r>
      <w:r w:rsidR="00B04151">
        <w:rPr>
          <w:sz w:val="24"/>
          <w:szCs w:val="24"/>
        </w:rPr>
        <w:t xml:space="preserve">declaration or item of evidence submitted as a separate attachment to </w:t>
      </w:r>
      <w:r w:rsidR="00ED2B6A">
        <w:rPr>
          <w:sz w:val="24"/>
          <w:szCs w:val="24"/>
        </w:rPr>
        <w:t xml:space="preserve">the </w:t>
      </w:r>
      <w:r w:rsidR="004D79EB">
        <w:rPr>
          <w:sz w:val="24"/>
          <w:szCs w:val="24"/>
        </w:rPr>
        <w:t>CM/ECF filing.</w:t>
      </w:r>
      <w:r w:rsidR="00B84113">
        <w:rPr>
          <w:sz w:val="24"/>
          <w:szCs w:val="24"/>
        </w:rPr>
        <w:t xml:space="preserve"> </w:t>
      </w:r>
      <w:r w:rsidR="00482DF7" w:rsidRPr="00482DF7">
        <w:rPr>
          <w:sz w:val="24"/>
          <w:szCs w:val="24"/>
        </w:rPr>
        <w:t xml:space="preserve">The evidentiary appendix shall include a table of contents. </w:t>
      </w:r>
      <w:r w:rsidR="006519D1" w:rsidRPr="00D1201F">
        <w:rPr>
          <w:sz w:val="24"/>
          <w:szCs w:val="24"/>
        </w:rPr>
        <w:t xml:space="preserve">No party shall submit evidence other than the specific items of evidence or testimony necessary to support or controvert a proposed </w:t>
      </w:r>
      <w:r w:rsidR="006519D1">
        <w:rPr>
          <w:sz w:val="24"/>
          <w:szCs w:val="24"/>
        </w:rPr>
        <w:t>statement of undisputed fact</w:t>
      </w:r>
      <w:r w:rsidR="006519D1" w:rsidRPr="00D1201F">
        <w:rPr>
          <w:sz w:val="24"/>
          <w:szCs w:val="24"/>
        </w:rPr>
        <w:t xml:space="preserve">. For example, entire deposition transcripts, entire sets of interrogatory responses, and documents that do not specifically support or controvert material in the </w:t>
      </w:r>
      <w:r w:rsidR="006519D1">
        <w:rPr>
          <w:sz w:val="24"/>
          <w:szCs w:val="24"/>
        </w:rPr>
        <w:t>separate statement</w:t>
      </w:r>
      <w:r w:rsidR="006519D1" w:rsidRPr="00D1201F">
        <w:rPr>
          <w:sz w:val="24"/>
          <w:szCs w:val="24"/>
        </w:rPr>
        <w:t xml:space="preserve"> shall not be submitted in </w:t>
      </w:r>
      <w:r w:rsidR="006519D1">
        <w:rPr>
          <w:sz w:val="24"/>
          <w:szCs w:val="24"/>
        </w:rPr>
        <w:t xml:space="preserve">support of or in </w:t>
      </w:r>
      <w:r w:rsidR="006519D1" w:rsidRPr="00D1201F">
        <w:rPr>
          <w:sz w:val="24"/>
          <w:szCs w:val="24"/>
        </w:rPr>
        <w:t xml:space="preserve">opposition to a motion for summary judgment. </w:t>
      </w:r>
    </w:p>
    <w:p w14:paraId="4E1CE139" w14:textId="25BC0F03" w:rsidR="006519D1" w:rsidRPr="00D1201F" w:rsidRDefault="00BD016D" w:rsidP="001E027C">
      <w:pPr>
        <w:ind w:firstLine="720"/>
        <w:rPr>
          <w:sz w:val="24"/>
          <w:szCs w:val="24"/>
        </w:rPr>
      </w:pPr>
      <w:r w:rsidRPr="00BD016D">
        <w:rPr>
          <w:sz w:val="24"/>
          <w:szCs w:val="24"/>
        </w:rPr>
        <w:lastRenderedPageBreak/>
        <w:t>If the parties wish to submit excerpts of any document (including deposition transcripts, documents produced in discovery, or any other documents) alongside their joint motion for summary judgment, they must meet and confer, and file only one consolidated excerpt of each such document. All portions of the excerpted document cited by either party must be contained in this one, consolidated, excerpt.</w:t>
      </w:r>
      <w:r>
        <w:rPr>
          <w:sz w:val="24"/>
          <w:szCs w:val="24"/>
        </w:rPr>
        <w:t xml:space="preserve"> When submitting an excerpt of a deposition transcript, parties must also include one full page before and one full page after the excerpt at issue.</w:t>
      </w:r>
    </w:p>
    <w:p w14:paraId="44F939D3" w14:textId="34C57F86" w:rsidR="006519D1" w:rsidRDefault="006519D1" w:rsidP="001E027C">
      <w:pPr>
        <w:ind w:firstLine="720"/>
        <w:rPr>
          <w:sz w:val="24"/>
          <w:szCs w:val="24"/>
        </w:rPr>
      </w:pPr>
      <w:r w:rsidRPr="00D1201F">
        <w:rPr>
          <w:sz w:val="24"/>
          <w:szCs w:val="24"/>
        </w:rPr>
        <w:t xml:space="preserve">Evidence submitted in support of or in opposition to a motion </w:t>
      </w:r>
      <w:r>
        <w:rPr>
          <w:sz w:val="24"/>
          <w:szCs w:val="24"/>
        </w:rPr>
        <w:t xml:space="preserve">for summary judgment </w:t>
      </w:r>
      <w:r w:rsidRPr="00D1201F">
        <w:rPr>
          <w:sz w:val="24"/>
          <w:szCs w:val="24"/>
        </w:rPr>
        <w:t xml:space="preserve">should be submitted either by way of stipulation or as exhibits to declarations sufficient to authenticate the proffered evidence and should not be attached to the </w:t>
      </w:r>
      <w:r>
        <w:rPr>
          <w:sz w:val="24"/>
          <w:szCs w:val="24"/>
        </w:rPr>
        <w:t>memorandum of points and authorities</w:t>
      </w:r>
      <w:r w:rsidRPr="00D1201F">
        <w:rPr>
          <w:sz w:val="24"/>
          <w:szCs w:val="24"/>
        </w:rPr>
        <w:t>. Documentary evidence for which there is no stipulation regarding foundation must be accompanied by the testimony, either by declaration or properly authenticated deposition transcript, of a witness who can establish authenticity.</w:t>
      </w:r>
      <w:r w:rsidR="00A16BE3">
        <w:rPr>
          <w:sz w:val="24"/>
          <w:szCs w:val="24"/>
        </w:rPr>
        <w:t xml:space="preserve"> </w:t>
      </w:r>
    </w:p>
    <w:p w14:paraId="282C1FA2" w14:textId="07F53046" w:rsidR="006519D1" w:rsidRPr="006519D1" w:rsidRDefault="006E50F3" w:rsidP="001E027C">
      <w:pPr>
        <w:pStyle w:val="ListParagraph"/>
        <w:numPr>
          <w:ilvl w:val="2"/>
          <w:numId w:val="26"/>
        </w:numPr>
        <w:rPr>
          <w:sz w:val="24"/>
          <w:szCs w:val="24"/>
          <w:u w:val="single"/>
        </w:rPr>
      </w:pPr>
      <w:r>
        <w:rPr>
          <w:sz w:val="24"/>
          <w:szCs w:val="24"/>
        </w:rPr>
        <w:t xml:space="preserve">  </w:t>
      </w:r>
      <w:r w:rsidR="006519D1" w:rsidRPr="006519D1">
        <w:rPr>
          <w:sz w:val="24"/>
          <w:szCs w:val="24"/>
          <w:u w:val="single"/>
        </w:rPr>
        <w:t>Objections to Evidence</w:t>
      </w:r>
    </w:p>
    <w:p w14:paraId="3FC6445F" w14:textId="1086A070" w:rsidR="006519D1" w:rsidRPr="00D1201F" w:rsidRDefault="006519D1" w:rsidP="008B175D">
      <w:pPr>
        <w:ind w:firstLine="720"/>
        <w:rPr>
          <w:sz w:val="24"/>
          <w:szCs w:val="24"/>
        </w:rPr>
      </w:pPr>
      <w:r w:rsidRPr="00D1201F">
        <w:rPr>
          <w:sz w:val="24"/>
          <w:szCs w:val="24"/>
        </w:rPr>
        <w:t xml:space="preserve">If a party disputes a fact based in whole or in part on an evidentiary objection, the ground for the objection should be stated succinctly in a </w:t>
      </w:r>
      <w:r>
        <w:rPr>
          <w:sz w:val="24"/>
          <w:szCs w:val="24"/>
        </w:rPr>
        <w:t>separate statement</w:t>
      </w:r>
      <w:r w:rsidRPr="00D1201F">
        <w:rPr>
          <w:sz w:val="24"/>
          <w:szCs w:val="24"/>
        </w:rPr>
        <w:t xml:space="preserve"> of evidentiary objections in a two-column format. The left column should identify the items objected to (including page and line number if applicable) and the right column should set forth a concise objection (</w:t>
      </w:r>
      <w:r w:rsidRPr="003F5AD3">
        <w:rPr>
          <w:i/>
          <w:iCs/>
          <w:sz w:val="24"/>
          <w:szCs w:val="24"/>
        </w:rPr>
        <w:t>e.g.</w:t>
      </w:r>
      <w:r w:rsidRPr="00D1201F">
        <w:rPr>
          <w:sz w:val="24"/>
          <w:szCs w:val="24"/>
        </w:rPr>
        <w:t xml:space="preserve">, hearsay, lack of foundation, etc.) with a citation to the Federal Rules of Evidence or, where applicable, a case citation. A proposed order shall be filed and attached to the evidentiary objections as a separate </w:t>
      </w:r>
      <w:r w:rsidR="00CE6BDC">
        <w:rPr>
          <w:sz w:val="24"/>
          <w:szCs w:val="24"/>
        </w:rPr>
        <w:t xml:space="preserve">Microsoft </w:t>
      </w:r>
      <w:r>
        <w:rPr>
          <w:sz w:val="24"/>
          <w:szCs w:val="24"/>
        </w:rPr>
        <w:t xml:space="preserve">Word </w:t>
      </w:r>
      <w:r w:rsidRPr="00D1201F">
        <w:rPr>
          <w:sz w:val="24"/>
          <w:szCs w:val="24"/>
        </w:rPr>
        <w:t xml:space="preserve">document consistent with Local Rule 52-4.1 and emailed directly to the </w:t>
      </w:r>
      <w:r>
        <w:rPr>
          <w:sz w:val="24"/>
          <w:szCs w:val="24"/>
        </w:rPr>
        <w:t>C</w:t>
      </w:r>
      <w:r w:rsidRPr="00D1201F">
        <w:rPr>
          <w:sz w:val="24"/>
          <w:szCs w:val="24"/>
        </w:rPr>
        <w:t xml:space="preserve">ourt’s chambers email address at </w:t>
      </w:r>
      <w:r w:rsidRPr="006519D1">
        <w:rPr>
          <w:sz w:val="24"/>
          <w:szCs w:val="24"/>
        </w:rPr>
        <w:t>MEMF_Chambers@cacd.uscourts.gov</w:t>
      </w:r>
      <w:r w:rsidRPr="00D1201F">
        <w:rPr>
          <w:sz w:val="24"/>
          <w:szCs w:val="24"/>
        </w:rPr>
        <w:t>.</w:t>
      </w:r>
    </w:p>
    <w:p w14:paraId="2F249D9C" w14:textId="01549567" w:rsidR="00B25AFA" w:rsidRPr="00B85F49" w:rsidRDefault="006519D1" w:rsidP="008B175D">
      <w:pPr>
        <w:numPr>
          <w:ilvl w:val="1"/>
          <w:numId w:val="26"/>
        </w:numPr>
        <w:ind w:left="0" w:firstLine="720"/>
        <w:rPr>
          <w:b/>
          <w:bCs/>
          <w:sz w:val="24"/>
          <w:szCs w:val="24"/>
          <w:u w:val="single"/>
        </w:rPr>
      </w:pPr>
      <w:r w:rsidRPr="00D1201F">
        <w:rPr>
          <w:b/>
          <w:bCs/>
          <w:sz w:val="24"/>
          <w:szCs w:val="24"/>
        </w:rPr>
        <w:t xml:space="preserve">Motions for Attorneys’ Fees: </w:t>
      </w:r>
      <w:r w:rsidRPr="00D1201F">
        <w:rPr>
          <w:sz w:val="24"/>
          <w:szCs w:val="24"/>
        </w:rPr>
        <w:t>Motions for attorneys</w:t>
      </w:r>
      <w:r>
        <w:rPr>
          <w:sz w:val="24"/>
          <w:szCs w:val="24"/>
        </w:rPr>
        <w:t>’</w:t>
      </w:r>
      <w:r w:rsidRPr="00D1201F">
        <w:rPr>
          <w:sz w:val="24"/>
          <w:szCs w:val="24"/>
        </w:rPr>
        <w:t xml:space="preserve"> fees shall be </w:t>
      </w:r>
      <w:r w:rsidR="00404CDD">
        <w:rPr>
          <w:sz w:val="24"/>
          <w:szCs w:val="24"/>
        </w:rPr>
        <w:t>electronically filed</w:t>
      </w:r>
      <w:r w:rsidRPr="00D1201F">
        <w:rPr>
          <w:sz w:val="24"/>
          <w:szCs w:val="24"/>
        </w:rPr>
        <w:t xml:space="preserve"> and set for hearing according to Local Rule 6-1 and this Order. </w:t>
      </w:r>
      <w:r w:rsidR="00FD0327">
        <w:rPr>
          <w:sz w:val="24"/>
          <w:szCs w:val="24"/>
        </w:rPr>
        <w:t xml:space="preserve">Before filing </w:t>
      </w:r>
      <w:r w:rsidR="009E0762">
        <w:rPr>
          <w:sz w:val="24"/>
          <w:szCs w:val="24"/>
        </w:rPr>
        <w:t xml:space="preserve">a motion for attorneys’ fees, counsel must meet and confer pursuant to Local Rule 7-3 to attempt in good faith to agree on the reasonable amount of fees to be awarded (if the Court decides to award fees), keeping </w:t>
      </w:r>
      <w:r w:rsidR="009E0762">
        <w:rPr>
          <w:sz w:val="24"/>
          <w:szCs w:val="24"/>
        </w:rPr>
        <w:lastRenderedPageBreak/>
        <w:t xml:space="preserve">in mind that a contested </w:t>
      </w:r>
      <w:r w:rsidR="006E6249">
        <w:rPr>
          <w:sz w:val="24"/>
          <w:szCs w:val="24"/>
        </w:rPr>
        <w:t xml:space="preserve">request for attorneys’ fees </w:t>
      </w:r>
      <w:r w:rsidR="002774CF">
        <w:rPr>
          <w:sz w:val="24"/>
          <w:szCs w:val="24"/>
        </w:rPr>
        <w:t>“should not result in a second major litigation.”</w:t>
      </w:r>
      <w:r w:rsidR="00B25AFA">
        <w:rPr>
          <w:rStyle w:val="FootnoteReference"/>
          <w:szCs w:val="24"/>
        </w:rPr>
        <w:footnoteReference w:id="7"/>
      </w:r>
      <w:r w:rsidR="002774CF">
        <w:rPr>
          <w:sz w:val="24"/>
          <w:szCs w:val="24"/>
        </w:rPr>
        <w:t xml:space="preserve"> </w:t>
      </w:r>
      <w:r w:rsidR="00B85F49">
        <w:rPr>
          <w:sz w:val="24"/>
          <w:szCs w:val="24"/>
        </w:rPr>
        <w:t>Prior to the conference, the moving party must do at least the following:</w:t>
      </w:r>
    </w:p>
    <w:p w14:paraId="55469D39" w14:textId="3AA0758F" w:rsidR="004A0784" w:rsidRPr="004A0784" w:rsidRDefault="00B85F49" w:rsidP="004A0784">
      <w:pPr>
        <w:pStyle w:val="ListParagraph"/>
        <w:numPr>
          <w:ilvl w:val="2"/>
          <w:numId w:val="26"/>
        </w:numPr>
        <w:ind w:left="0" w:firstLine="720"/>
        <w:rPr>
          <w:b/>
          <w:bCs/>
          <w:sz w:val="24"/>
          <w:szCs w:val="24"/>
          <w:u w:val="single"/>
        </w:rPr>
      </w:pPr>
      <w:r>
        <w:rPr>
          <w:sz w:val="24"/>
          <w:szCs w:val="24"/>
        </w:rPr>
        <w:t xml:space="preserve">Provide opposing counsel with the billing records on which the motion will be based and specify the entries for which compensation is and is not sought. These records may be redacted to prevent disclosure of material protected by the attorney-client privilege or work product doctrine. </w:t>
      </w:r>
      <w:r w:rsidR="00CD5A23">
        <w:rPr>
          <w:sz w:val="24"/>
          <w:szCs w:val="24"/>
        </w:rPr>
        <w:t xml:space="preserve">However, as </w:t>
      </w:r>
      <w:r w:rsidR="00CD5A23" w:rsidRPr="008B175D">
        <w:rPr>
          <w:sz w:val="24"/>
          <w:szCs w:val="24"/>
        </w:rPr>
        <w:t>to those redacted items, counsel shall submit a declaration describing the nature of the services with sufficient detail to allow opposing counsel to determine if the item is objectionable.</w:t>
      </w:r>
      <w:r w:rsidR="004A0784">
        <w:rPr>
          <w:sz w:val="24"/>
          <w:szCs w:val="24"/>
        </w:rPr>
        <w:t xml:space="preserve"> </w:t>
      </w:r>
    </w:p>
    <w:p w14:paraId="79705522" w14:textId="7840493D" w:rsidR="00CD5A23" w:rsidRPr="004A0784" w:rsidRDefault="00CD5A23" w:rsidP="004A0784">
      <w:pPr>
        <w:pStyle w:val="ListParagraph"/>
        <w:numPr>
          <w:ilvl w:val="2"/>
          <w:numId w:val="26"/>
        </w:numPr>
        <w:ind w:left="0" w:firstLine="720"/>
        <w:rPr>
          <w:b/>
          <w:bCs/>
          <w:sz w:val="24"/>
          <w:szCs w:val="24"/>
          <w:u w:val="single"/>
        </w:rPr>
      </w:pPr>
      <w:r w:rsidRPr="004A0784">
        <w:rPr>
          <w:sz w:val="24"/>
          <w:szCs w:val="24"/>
        </w:rPr>
        <w:t xml:space="preserve">Inform opposing counsel of the hourly rates that will be claimed for each lawyer, paralegal, or other timekeeper. </w:t>
      </w:r>
      <w:r w:rsidR="008B175D" w:rsidRPr="004A0784">
        <w:rPr>
          <w:rFonts w:asciiTheme="majorHAnsi" w:hAnsiTheme="majorHAnsi" w:cstheme="majorHAnsi"/>
          <w:sz w:val="24"/>
          <w:szCs w:val="24"/>
        </w:rPr>
        <w:t>If moving counsel or other timekeepers have performed any legal work on an hourly basis during the period covered by the motion, moving counsel shall provide representative business records sufficient to show the types of litigation in which such hourly rates were paid and the rates that were paid in each type. If moving counsel has been paid on an hourly basis in the case in question or in litigation of the same type as the case in question, records showing the rates paid (not charged) for those services must be provided. If moving counsel will rely on other evidence to establish appropriate hourly rates, such as evidence of rates charged by attorneys of comparable experience and qualifications or evidence of rates used in previous awards by courts or administrative agencies, moving counsel shall provide such other evidence.</w:t>
      </w:r>
    </w:p>
    <w:p w14:paraId="52357FD7" w14:textId="2C07DE0B" w:rsidR="004A0784" w:rsidRPr="004A0784" w:rsidRDefault="004A0784" w:rsidP="004A0784">
      <w:pPr>
        <w:pStyle w:val="ListParagraph"/>
        <w:numPr>
          <w:ilvl w:val="2"/>
          <w:numId w:val="26"/>
        </w:numPr>
        <w:ind w:left="0" w:firstLine="720"/>
        <w:rPr>
          <w:sz w:val="24"/>
          <w:szCs w:val="24"/>
        </w:rPr>
      </w:pPr>
      <w:r>
        <w:rPr>
          <w:sz w:val="24"/>
          <w:szCs w:val="24"/>
        </w:rPr>
        <w:t>Furnish evidence of the actual cost of any nontaxable expenses to be sought by the motion;</w:t>
      </w:r>
    </w:p>
    <w:p w14:paraId="1B7B32DA" w14:textId="62585244" w:rsidR="004A0784" w:rsidRPr="004A0784" w:rsidRDefault="004A0784" w:rsidP="004A0784">
      <w:pPr>
        <w:pStyle w:val="ListParagraph"/>
        <w:numPr>
          <w:ilvl w:val="2"/>
          <w:numId w:val="26"/>
        </w:numPr>
        <w:ind w:left="0" w:firstLine="720"/>
        <w:rPr>
          <w:b/>
          <w:bCs/>
          <w:sz w:val="24"/>
          <w:szCs w:val="24"/>
          <w:u w:val="single"/>
        </w:rPr>
      </w:pPr>
      <w:r>
        <w:rPr>
          <w:sz w:val="24"/>
          <w:szCs w:val="24"/>
        </w:rPr>
        <w:t xml:space="preserve">Respond to any reasonable request for additional documentation or information. </w:t>
      </w:r>
    </w:p>
    <w:p w14:paraId="3D31FC4E" w14:textId="752EDDD6" w:rsidR="004A0784" w:rsidRDefault="004A0784" w:rsidP="004A0784">
      <w:pPr>
        <w:ind w:firstLine="720"/>
        <w:rPr>
          <w:sz w:val="24"/>
          <w:szCs w:val="24"/>
        </w:rPr>
      </w:pPr>
      <w:r>
        <w:rPr>
          <w:sz w:val="24"/>
          <w:szCs w:val="24"/>
        </w:rPr>
        <w:t>By providing opposing counsel with information about hours, billing rates, and nontaxable expenses, moving counsel will not be deemed to make any admission or waive any argument about the relevance or effect of such information in determining an appropriate award.</w:t>
      </w:r>
    </w:p>
    <w:p w14:paraId="2748998D" w14:textId="331AAE88" w:rsidR="006519D1" w:rsidRDefault="004A0784" w:rsidP="00C22387">
      <w:pPr>
        <w:ind w:firstLine="720"/>
        <w:rPr>
          <w:sz w:val="24"/>
          <w:szCs w:val="24"/>
        </w:rPr>
      </w:pPr>
      <w:r>
        <w:rPr>
          <w:sz w:val="24"/>
          <w:szCs w:val="24"/>
        </w:rPr>
        <w:t xml:space="preserve">All information furnished by moving counsel shall be treated as confidential by opposing counsel. The information shall be used solely for purposes of the fee litigation, and shall be disclosed to other persons, if at all, only in court filings or hearings related to the fee litigation. If opposing </w:t>
      </w:r>
      <w:r>
        <w:rPr>
          <w:sz w:val="24"/>
          <w:szCs w:val="24"/>
        </w:rPr>
        <w:lastRenderedPageBreak/>
        <w:t>counsel proposes to disclose any of the information in a court filing or hearing, opposing counsel shall provide moving counsel with prior written notice and a reasonable opportunity to request a protective order.</w:t>
      </w:r>
    </w:p>
    <w:p w14:paraId="0625ED6C" w14:textId="3E6AD29F" w:rsidR="00AA78E1" w:rsidRDefault="00256241" w:rsidP="00F45A35">
      <w:pPr>
        <w:rPr>
          <w:sz w:val="24"/>
          <w:szCs w:val="24"/>
        </w:rPr>
      </w:pPr>
      <w:r>
        <w:rPr>
          <w:sz w:val="24"/>
          <w:szCs w:val="24"/>
        </w:rPr>
        <w:tab/>
        <w:t xml:space="preserve">If </w:t>
      </w:r>
      <w:r w:rsidR="00EA65BC" w:rsidRPr="00EA65BC">
        <w:rPr>
          <w:sz w:val="24"/>
          <w:szCs w:val="24"/>
        </w:rPr>
        <w:t>there is no agreement as to the fees and costs to be paid, the parties are to</w:t>
      </w:r>
      <w:r w:rsidR="00EA65BC">
        <w:rPr>
          <w:sz w:val="24"/>
          <w:szCs w:val="24"/>
        </w:rPr>
        <w:t xml:space="preserve"> </w:t>
      </w:r>
      <w:r w:rsidR="00EA65BC" w:rsidRPr="00EA65BC">
        <w:rPr>
          <w:sz w:val="24"/>
          <w:szCs w:val="24"/>
        </w:rPr>
        <w:t>produce a Joint Statement for submission. At least seven days prior to the</w:t>
      </w:r>
      <w:r w:rsidR="00EA65BC">
        <w:rPr>
          <w:sz w:val="24"/>
          <w:szCs w:val="24"/>
        </w:rPr>
        <w:t xml:space="preserve"> </w:t>
      </w:r>
      <w:r w:rsidR="00EA65BC" w:rsidRPr="00EA65BC">
        <w:rPr>
          <w:sz w:val="24"/>
          <w:szCs w:val="24"/>
        </w:rPr>
        <w:t xml:space="preserve">conference of counsel, the moving party must provide to the opposing </w:t>
      </w:r>
      <w:proofErr w:type="gramStart"/>
      <w:r w:rsidR="00EA65BC" w:rsidRPr="00EA65BC">
        <w:rPr>
          <w:sz w:val="24"/>
          <w:szCs w:val="24"/>
        </w:rPr>
        <w:t>party</w:t>
      </w:r>
      <w:proofErr w:type="gramEnd"/>
      <w:r w:rsidR="00EA65BC" w:rsidRPr="00EA65BC">
        <w:rPr>
          <w:sz w:val="24"/>
          <w:szCs w:val="24"/>
        </w:rPr>
        <w:t xml:space="preserve"> a</w:t>
      </w:r>
      <w:r w:rsidR="00EA65BC">
        <w:rPr>
          <w:sz w:val="24"/>
          <w:szCs w:val="24"/>
        </w:rPr>
        <w:t xml:space="preserve"> </w:t>
      </w:r>
      <w:r w:rsidR="00EA65BC" w:rsidRPr="00EA65BC">
        <w:rPr>
          <w:sz w:val="24"/>
          <w:szCs w:val="24"/>
        </w:rPr>
        <w:t>draft of its portion of a Joint Statement that will eventually be submitted to the</w:t>
      </w:r>
      <w:r w:rsidR="00EA65BC">
        <w:rPr>
          <w:sz w:val="24"/>
          <w:szCs w:val="24"/>
        </w:rPr>
        <w:t xml:space="preserve"> </w:t>
      </w:r>
      <w:r w:rsidR="00EA65BC" w:rsidRPr="00EA65BC">
        <w:rPr>
          <w:sz w:val="24"/>
          <w:szCs w:val="24"/>
        </w:rPr>
        <w:t>Court. The Joint Statement must be formatted as a spreadsheet in Microsoft</w:t>
      </w:r>
      <w:r w:rsidR="00EA65BC">
        <w:rPr>
          <w:sz w:val="24"/>
          <w:szCs w:val="24"/>
        </w:rPr>
        <w:t xml:space="preserve"> </w:t>
      </w:r>
      <w:r w:rsidR="00EA65BC" w:rsidRPr="00EA65BC">
        <w:rPr>
          <w:sz w:val="24"/>
          <w:szCs w:val="24"/>
        </w:rPr>
        <w:t>Excel.</w:t>
      </w:r>
      <w:r w:rsidR="00EA65BC">
        <w:rPr>
          <w:sz w:val="24"/>
          <w:szCs w:val="24"/>
        </w:rPr>
        <w:t xml:space="preserve"> </w:t>
      </w:r>
      <w:r w:rsidR="00EA65BC" w:rsidRPr="00EA65BC">
        <w:rPr>
          <w:sz w:val="24"/>
          <w:szCs w:val="24"/>
        </w:rPr>
        <w:t>The spreadsheet must include columns to identify: (1) the date of each time entry; (2) the biller for</w:t>
      </w:r>
      <w:r w:rsidR="00EA65BC">
        <w:rPr>
          <w:sz w:val="24"/>
          <w:szCs w:val="24"/>
        </w:rPr>
        <w:t xml:space="preserve"> </w:t>
      </w:r>
      <w:r w:rsidR="00EA65BC" w:rsidRPr="00EA65BC">
        <w:rPr>
          <w:sz w:val="24"/>
          <w:szCs w:val="24"/>
        </w:rPr>
        <w:t>each time entry; (3) a brief description of the task; (4) the number of hours</w:t>
      </w:r>
      <w:r w:rsidR="00EA65BC">
        <w:rPr>
          <w:sz w:val="24"/>
          <w:szCs w:val="24"/>
        </w:rPr>
        <w:t xml:space="preserve"> </w:t>
      </w:r>
      <w:r w:rsidR="00EA65BC" w:rsidRPr="00EA65BC">
        <w:rPr>
          <w:sz w:val="24"/>
          <w:szCs w:val="24"/>
        </w:rPr>
        <w:t>requested by the moving party for the task; (5) the number of hours, if any,</w:t>
      </w:r>
      <w:r w:rsidR="00EA65BC">
        <w:rPr>
          <w:sz w:val="24"/>
          <w:szCs w:val="24"/>
        </w:rPr>
        <w:t xml:space="preserve"> </w:t>
      </w:r>
      <w:r w:rsidR="00EA65BC" w:rsidRPr="00EA65BC">
        <w:rPr>
          <w:sz w:val="24"/>
          <w:szCs w:val="24"/>
        </w:rPr>
        <w:t>opposing party believes should be awarded for the task; and for disputed items</w:t>
      </w:r>
      <w:r w:rsidR="001516A3">
        <w:rPr>
          <w:sz w:val="24"/>
          <w:szCs w:val="24"/>
        </w:rPr>
        <w:t>;</w:t>
      </w:r>
      <w:r w:rsidR="00EA65BC" w:rsidRPr="00EA65BC">
        <w:rPr>
          <w:sz w:val="24"/>
          <w:szCs w:val="24"/>
        </w:rPr>
        <w:t xml:space="preserve"> (6)</w:t>
      </w:r>
      <w:r w:rsidR="00EA65BC">
        <w:rPr>
          <w:sz w:val="24"/>
          <w:szCs w:val="24"/>
        </w:rPr>
        <w:t xml:space="preserve"> </w:t>
      </w:r>
      <w:r w:rsidR="00EA65BC" w:rsidRPr="00EA65BC">
        <w:rPr>
          <w:sz w:val="24"/>
          <w:szCs w:val="24"/>
        </w:rPr>
        <w:t>a brief summary of moving party’s position; and (7) a brief summary of opposing</w:t>
      </w:r>
      <w:r w:rsidR="00EA65BC">
        <w:rPr>
          <w:sz w:val="24"/>
          <w:szCs w:val="24"/>
        </w:rPr>
        <w:t xml:space="preserve"> </w:t>
      </w:r>
      <w:r w:rsidR="00EA65BC" w:rsidRPr="00EA65BC">
        <w:rPr>
          <w:sz w:val="24"/>
          <w:szCs w:val="24"/>
        </w:rPr>
        <w:t xml:space="preserve">party’s position. This format is illustrated </w:t>
      </w:r>
      <w:r w:rsidR="000A4209">
        <w:rPr>
          <w:sz w:val="24"/>
          <w:szCs w:val="24"/>
        </w:rPr>
        <w:t>below</w:t>
      </w:r>
      <w:r w:rsidR="00AA78E1">
        <w:rPr>
          <w:sz w:val="24"/>
          <w:szCs w:val="24"/>
        </w:rPr>
        <w:t>:</w:t>
      </w:r>
    </w:p>
    <w:p w14:paraId="04F50EF8" w14:textId="77777777" w:rsidR="00AA78E1" w:rsidRDefault="00AA78E1" w:rsidP="00F45A35">
      <w:pPr>
        <w:rPr>
          <w:sz w:val="24"/>
          <w:szCs w:val="24"/>
        </w:rPr>
      </w:pPr>
    </w:p>
    <w:tbl>
      <w:tblPr>
        <w:tblStyle w:val="TableGrid"/>
        <w:tblW w:w="0" w:type="auto"/>
        <w:tblLook w:val="04A0" w:firstRow="1" w:lastRow="0" w:firstColumn="1" w:lastColumn="0" w:noHBand="0" w:noVBand="1"/>
      </w:tblPr>
      <w:tblGrid>
        <w:gridCol w:w="984"/>
        <w:gridCol w:w="829"/>
        <w:gridCol w:w="1276"/>
        <w:gridCol w:w="1183"/>
        <w:gridCol w:w="1123"/>
        <w:gridCol w:w="1080"/>
        <w:gridCol w:w="1620"/>
        <w:gridCol w:w="1615"/>
      </w:tblGrid>
      <w:tr w:rsidR="000C22E1" w:rsidRPr="00AA78E1" w14:paraId="08367076" w14:textId="77777777" w:rsidTr="00011067">
        <w:tc>
          <w:tcPr>
            <w:tcW w:w="984" w:type="dxa"/>
          </w:tcPr>
          <w:p w14:paraId="27940D0A" w14:textId="33655694" w:rsidR="00AA78E1" w:rsidRPr="00AA78E1" w:rsidRDefault="00AA78E1" w:rsidP="00011067">
            <w:pPr>
              <w:spacing w:line="240" w:lineRule="auto"/>
              <w:jc w:val="center"/>
              <w:rPr>
                <w:b/>
                <w:bCs/>
                <w:sz w:val="20"/>
                <w:szCs w:val="20"/>
              </w:rPr>
            </w:pPr>
            <w:r w:rsidRPr="00AA78E1">
              <w:rPr>
                <w:b/>
                <w:bCs/>
                <w:sz w:val="20"/>
                <w:szCs w:val="20"/>
              </w:rPr>
              <w:t>Attorney</w:t>
            </w:r>
          </w:p>
        </w:tc>
        <w:tc>
          <w:tcPr>
            <w:tcW w:w="829" w:type="dxa"/>
          </w:tcPr>
          <w:p w14:paraId="75C5128B" w14:textId="5163BDE5" w:rsidR="00AA78E1" w:rsidRPr="00AA78E1" w:rsidRDefault="00AA78E1" w:rsidP="00011067">
            <w:pPr>
              <w:spacing w:line="240" w:lineRule="auto"/>
              <w:jc w:val="center"/>
              <w:rPr>
                <w:b/>
                <w:bCs/>
                <w:sz w:val="20"/>
                <w:szCs w:val="20"/>
              </w:rPr>
            </w:pPr>
            <w:r w:rsidRPr="00AA78E1">
              <w:rPr>
                <w:b/>
                <w:bCs/>
                <w:sz w:val="20"/>
                <w:szCs w:val="20"/>
              </w:rPr>
              <w:t>Date</w:t>
            </w:r>
          </w:p>
        </w:tc>
        <w:tc>
          <w:tcPr>
            <w:tcW w:w="1276" w:type="dxa"/>
          </w:tcPr>
          <w:p w14:paraId="24655D80" w14:textId="0B953518" w:rsidR="00AA78E1" w:rsidRPr="00AA78E1" w:rsidRDefault="00AA78E1" w:rsidP="00011067">
            <w:pPr>
              <w:spacing w:line="240" w:lineRule="auto"/>
              <w:jc w:val="center"/>
              <w:rPr>
                <w:b/>
                <w:bCs/>
                <w:sz w:val="20"/>
                <w:szCs w:val="20"/>
              </w:rPr>
            </w:pPr>
            <w:r w:rsidRPr="00AA78E1">
              <w:rPr>
                <w:b/>
                <w:bCs/>
                <w:sz w:val="20"/>
                <w:szCs w:val="20"/>
              </w:rPr>
              <w:t>Description</w:t>
            </w:r>
          </w:p>
        </w:tc>
        <w:tc>
          <w:tcPr>
            <w:tcW w:w="1183" w:type="dxa"/>
          </w:tcPr>
          <w:p w14:paraId="5FC0CCD7" w14:textId="18D5111C" w:rsidR="00AA78E1" w:rsidRPr="00AA78E1" w:rsidRDefault="00AA78E1" w:rsidP="00011067">
            <w:pPr>
              <w:spacing w:line="240" w:lineRule="auto"/>
              <w:jc w:val="center"/>
              <w:rPr>
                <w:b/>
                <w:bCs/>
                <w:sz w:val="20"/>
                <w:szCs w:val="20"/>
              </w:rPr>
            </w:pPr>
            <w:r w:rsidRPr="00AA78E1">
              <w:rPr>
                <w:b/>
                <w:bCs/>
                <w:sz w:val="20"/>
                <w:szCs w:val="20"/>
              </w:rPr>
              <w:t>Time/Amt Challenged</w:t>
            </w:r>
          </w:p>
        </w:tc>
        <w:tc>
          <w:tcPr>
            <w:tcW w:w="1123" w:type="dxa"/>
          </w:tcPr>
          <w:p w14:paraId="027F500A" w14:textId="33DADA8F" w:rsidR="00AA78E1" w:rsidRPr="00AA78E1" w:rsidRDefault="00AA78E1" w:rsidP="00011067">
            <w:pPr>
              <w:spacing w:line="240" w:lineRule="auto"/>
              <w:jc w:val="center"/>
              <w:rPr>
                <w:b/>
                <w:bCs/>
                <w:sz w:val="20"/>
                <w:szCs w:val="20"/>
              </w:rPr>
            </w:pPr>
            <w:r w:rsidRPr="00AA78E1">
              <w:rPr>
                <w:b/>
                <w:bCs/>
                <w:sz w:val="20"/>
                <w:szCs w:val="20"/>
              </w:rPr>
              <w:t>Reduce by</w:t>
            </w:r>
          </w:p>
        </w:tc>
        <w:tc>
          <w:tcPr>
            <w:tcW w:w="1080" w:type="dxa"/>
          </w:tcPr>
          <w:p w14:paraId="692E53BE" w14:textId="74CC7852" w:rsidR="00AA78E1" w:rsidRPr="00AA78E1" w:rsidRDefault="00AA78E1" w:rsidP="00011067">
            <w:pPr>
              <w:spacing w:line="240" w:lineRule="auto"/>
              <w:jc w:val="center"/>
              <w:rPr>
                <w:b/>
                <w:bCs/>
                <w:sz w:val="20"/>
                <w:szCs w:val="20"/>
              </w:rPr>
            </w:pPr>
            <w:r w:rsidRPr="00AA78E1">
              <w:rPr>
                <w:b/>
                <w:bCs/>
                <w:sz w:val="20"/>
                <w:szCs w:val="20"/>
              </w:rPr>
              <w:t>Objection</w:t>
            </w:r>
          </w:p>
        </w:tc>
        <w:tc>
          <w:tcPr>
            <w:tcW w:w="1620" w:type="dxa"/>
          </w:tcPr>
          <w:p w14:paraId="314F7E23" w14:textId="3BB506E6" w:rsidR="00AA78E1" w:rsidRPr="00AA78E1" w:rsidRDefault="00AA78E1" w:rsidP="00011067">
            <w:pPr>
              <w:spacing w:line="240" w:lineRule="auto"/>
              <w:jc w:val="center"/>
              <w:rPr>
                <w:b/>
                <w:bCs/>
                <w:sz w:val="20"/>
                <w:szCs w:val="20"/>
              </w:rPr>
            </w:pPr>
            <w:r w:rsidRPr="00AA78E1">
              <w:rPr>
                <w:b/>
                <w:bCs/>
                <w:sz w:val="20"/>
                <w:szCs w:val="20"/>
              </w:rPr>
              <w:t>Reason for Objection</w:t>
            </w:r>
          </w:p>
        </w:tc>
        <w:tc>
          <w:tcPr>
            <w:tcW w:w="1615" w:type="dxa"/>
          </w:tcPr>
          <w:p w14:paraId="51A6D496" w14:textId="0B6BD11E" w:rsidR="00AA78E1" w:rsidRPr="00AA78E1" w:rsidRDefault="00AA78E1" w:rsidP="00011067">
            <w:pPr>
              <w:spacing w:line="240" w:lineRule="auto"/>
              <w:jc w:val="center"/>
              <w:rPr>
                <w:b/>
                <w:bCs/>
                <w:sz w:val="20"/>
                <w:szCs w:val="20"/>
              </w:rPr>
            </w:pPr>
            <w:r w:rsidRPr="00AA78E1">
              <w:rPr>
                <w:b/>
                <w:bCs/>
                <w:sz w:val="20"/>
                <w:szCs w:val="20"/>
              </w:rPr>
              <w:t>Response to Objection</w:t>
            </w:r>
          </w:p>
        </w:tc>
      </w:tr>
      <w:tr w:rsidR="000C22E1" w14:paraId="7F18505C" w14:textId="77777777" w:rsidTr="00011067">
        <w:tc>
          <w:tcPr>
            <w:tcW w:w="984" w:type="dxa"/>
          </w:tcPr>
          <w:p w14:paraId="2B851CE9" w14:textId="0FB9E9AA" w:rsidR="00AA78E1" w:rsidRPr="00011067" w:rsidRDefault="00AA78E1" w:rsidP="00011067">
            <w:pPr>
              <w:spacing w:line="240" w:lineRule="auto"/>
              <w:rPr>
                <w:sz w:val="20"/>
                <w:szCs w:val="20"/>
              </w:rPr>
            </w:pPr>
            <w:r w:rsidRPr="00011067">
              <w:rPr>
                <w:sz w:val="20"/>
                <w:szCs w:val="20"/>
              </w:rPr>
              <w:t>J. Doe</w:t>
            </w:r>
          </w:p>
        </w:tc>
        <w:tc>
          <w:tcPr>
            <w:tcW w:w="829" w:type="dxa"/>
          </w:tcPr>
          <w:p w14:paraId="2CB2D968" w14:textId="66914B20" w:rsidR="00AA78E1" w:rsidRPr="00011067" w:rsidRDefault="00AA78E1" w:rsidP="00011067">
            <w:pPr>
              <w:spacing w:line="240" w:lineRule="auto"/>
              <w:rPr>
                <w:sz w:val="20"/>
                <w:szCs w:val="20"/>
              </w:rPr>
            </w:pPr>
            <w:r w:rsidRPr="00011067">
              <w:rPr>
                <w:sz w:val="20"/>
                <w:szCs w:val="20"/>
              </w:rPr>
              <w:t>1/2/08</w:t>
            </w:r>
          </w:p>
        </w:tc>
        <w:tc>
          <w:tcPr>
            <w:tcW w:w="1276" w:type="dxa"/>
          </w:tcPr>
          <w:p w14:paraId="644B3E8D" w14:textId="0F9560FA" w:rsidR="00AA78E1" w:rsidRPr="00011067" w:rsidRDefault="00AA78E1" w:rsidP="00011067">
            <w:pPr>
              <w:spacing w:line="240" w:lineRule="auto"/>
              <w:rPr>
                <w:sz w:val="20"/>
                <w:szCs w:val="20"/>
              </w:rPr>
            </w:pPr>
            <w:r w:rsidRPr="00011067">
              <w:rPr>
                <w:sz w:val="20"/>
                <w:szCs w:val="20"/>
              </w:rPr>
              <w:t>T/C</w:t>
            </w:r>
            <w:r w:rsidR="000C22E1" w:rsidRPr="00011067">
              <w:rPr>
                <w:sz w:val="20"/>
                <w:szCs w:val="20"/>
              </w:rPr>
              <w:t xml:space="preserve"> w/ consultant</w:t>
            </w:r>
          </w:p>
        </w:tc>
        <w:tc>
          <w:tcPr>
            <w:tcW w:w="1183" w:type="dxa"/>
          </w:tcPr>
          <w:p w14:paraId="35AB83E9" w14:textId="226030D3" w:rsidR="00AA78E1" w:rsidRPr="00011067" w:rsidRDefault="000C22E1" w:rsidP="00011067">
            <w:pPr>
              <w:spacing w:line="240" w:lineRule="auto"/>
              <w:rPr>
                <w:sz w:val="20"/>
                <w:szCs w:val="20"/>
              </w:rPr>
            </w:pPr>
            <w:r w:rsidRPr="00011067">
              <w:rPr>
                <w:sz w:val="20"/>
                <w:szCs w:val="20"/>
              </w:rPr>
              <w:t>3.0 ($450)</w:t>
            </w:r>
          </w:p>
        </w:tc>
        <w:tc>
          <w:tcPr>
            <w:tcW w:w="1123" w:type="dxa"/>
          </w:tcPr>
          <w:p w14:paraId="0FF04F93" w14:textId="6B4EA105" w:rsidR="00AA78E1" w:rsidRPr="00011067" w:rsidRDefault="000C22E1" w:rsidP="00011067">
            <w:pPr>
              <w:spacing w:line="240" w:lineRule="auto"/>
              <w:rPr>
                <w:sz w:val="20"/>
                <w:szCs w:val="20"/>
              </w:rPr>
            </w:pPr>
            <w:r w:rsidRPr="00011067">
              <w:rPr>
                <w:sz w:val="20"/>
                <w:szCs w:val="20"/>
              </w:rPr>
              <w:t>3.0 ($450)</w:t>
            </w:r>
          </w:p>
        </w:tc>
        <w:tc>
          <w:tcPr>
            <w:tcW w:w="1080" w:type="dxa"/>
          </w:tcPr>
          <w:p w14:paraId="11296A49" w14:textId="1802853E" w:rsidR="00AA78E1" w:rsidRPr="00011067" w:rsidRDefault="000C22E1" w:rsidP="00011067">
            <w:pPr>
              <w:spacing w:line="240" w:lineRule="auto"/>
              <w:rPr>
                <w:sz w:val="20"/>
                <w:szCs w:val="20"/>
              </w:rPr>
            </w:pPr>
            <w:r w:rsidRPr="00011067">
              <w:rPr>
                <w:sz w:val="20"/>
                <w:szCs w:val="20"/>
              </w:rPr>
              <w:t>Vague</w:t>
            </w:r>
          </w:p>
        </w:tc>
        <w:tc>
          <w:tcPr>
            <w:tcW w:w="1620" w:type="dxa"/>
          </w:tcPr>
          <w:p w14:paraId="7CDF289D" w14:textId="29CB5B18" w:rsidR="00AA78E1" w:rsidRPr="00011067" w:rsidRDefault="000C22E1" w:rsidP="00011067">
            <w:pPr>
              <w:spacing w:line="240" w:lineRule="auto"/>
              <w:rPr>
                <w:sz w:val="20"/>
                <w:szCs w:val="20"/>
              </w:rPr>
            </w:pPr>
            <w:r w:rsidRPr="00011067">
              <w:rPr>
                <w:sz w:val="20"/>
                <w:szCs w:val="20"/>
              </w:rPr>
              <w:t>Fails to articulate who the consultant was and what the conversation concerned</w:t>
            </w:r>
          </w:p>
        </w:tc>
        <w:tc>
          <w:tcPr>
            <w:tcW w:w="1615" w:type="dxa"/>
          </w:tcPr>
          <w:p w14:paraId="182614C9" w14:textId="2D10E404" w:rsidR="00AA78E1" w:rsidRPr="00011067" w:rsidRDefault="000C22E1" w:rsidP="00011067">
            <w:pPr>
              <w:spacing w:line="240" w:lineRule="auto"/>
              <w:rPr>
                <w:sz w:val="20"/>
                <w:szCs w:val="20"/>
              </w:rPr>
            </w:pPr>
            <w:r w:rsidRPr="00011067">
              <w:rPr>
                <w:sz w:val="20"/>
                <w:szCs w:val="20"/>
              </w:rPr>
              <w:t xml:space="preserve">Meeting with A. Smith </w:t>
            </w:r>
            <w:proofErr w:type="gramStart"/>
            <w:r w:rsidRPr="00011067">
              <w:rPr>
                <w:sz w:val="20"/>
                <w:szCs w:val="20"/>
              </w:rPr>
              <w:t>re coroner</w:t>
            </w:r>
            <w:proofErr w:type="gramEnd"/>
            <w:r w:rsidRPr="00011067">
              <w:rPr>
                <w:sz w:val="20"/>
                <w:szCs w:val="20"/>
              </w:rPr>
              <w:t xml:space="preserve"> report and crime scene video</w:t>
            </w:r>
          </w:p>
        </w:tc>
      </w:tr>
      <w:tr w:rsidR="000C22E1" w14:paraId="26060CED" w14:textId="77777777" w:rsidTr="00011067">
        <w:tc>
          <w:tcPr>
            <w:tcW w:w="984" w:type="dxa"/>
          </w:tcPr>
          <w:p w14:paraId="54D7088C" w14:textId="53F17A2F" w:rsidR="00AA78E1" w:rsidRPr="00011067" w:rsidRDefault="000C22E1" w:rsidP="00011067">
            <w:pPr>
              <w:spacing w:line="240" w:lineRule="auto"/>
              <w:rPr>
                <w:sz w:val="20"/>
                <w:szCs w:val="20"/>
              </w:rPr>
            </w:pPr>
            <w:r w:rsidRPr="00011067">
              <w:rPr>
                <w:sz w:val="20"/>
                <w:szCs w:val="20"/>
              </w:rPr>
              <w:t>S. Roe</w:t>
            </w:r>
          </w:p>
        </w:tc>
        <w:tc>
          <w:tcPr>
            <w:tcW w:w="829" w:type="dxa"/>
          </w:tcPr>
          <w:p w14:paraId="586FC8B0" w14:textId="232188FC" w:rsidR="00AA78E1" w:rsidRPr="00011067" w:rsidRDefault="000C22E1" w:rsidP="00011067">
            <w:pPr>
              <w:spacing w:line="240" w:lineRule="auto"/>
              <w:rPr>
                <w:sz w:val="20"/>
                <w:szCs w:val="20"/>
              </w:rPr>
            </w:pPr>
            <w:r w:rsidRPr="00011067">
              <w:rPr>
                <w:sz w:val="20"/>
                <w:szCs w:val="20"/>
              </w:rPr>
              <w:t>2/1/08</w:t>
            </w:r>
          </w:p>
        </w:tc>
        <w:tc>
          <w:tcPr>
            <w:tcW w:w="1276" w:type="dxa"/>
          </w:tcPr>
          <w:p w14:paraId="5372DC02" w14:textId="28A9D74F" w:rsidR="00AA78E1" w:rsidRPr="00011067" w:rsidRDefault="000C22E1" w:rsidP="00011067">
            <w:pPr>
              <w:spacing w:line="240" w:lineRule="auto"/>
              <w:rPr>
                <w:sz w:val="20"/>
                <w:szCs w:val="20"/>
              </w:rPr>
            </w:pPr>
            <w:r w:rsidRPr="00011067">
              <w:rPr>
                <w:sz w:val="20"/>
                <w:szCs w:val="20"/>
              </w:rPr>
              <w:t>Research Notice of Related Case</w:t>
            </w:r>
          </w:p>
        </w:tc>
        <w:tc>
          <w:tcPr>
            <w:tcW w:w="1183" w:type="dxa"/>
          </w:tcPr>
          <w:p w14:paraId="786F0AEB" w14:textId="6BE50513" w:rsidR="00AA78E1" w:rsidRPr="00011067" w:rsidRDefault="000C22E1" w:rsidP="00011067">
            <w:pPr>
              <w:spacing w:line="240" w:lineRule="auto"/>
              <w:rPr>
                <w:sz w:val="20"/>
                <w:szCs w:val="20"/>
              </w:rPr>
            </w:pPr>
            <w:r w:rsidRPr="00011067">
              <w:rPr>
                <w:sz w:val="20"/>
                <w:szCs w:val="20"/>
              </w:rPr>
              <w:t>2.0 ($300)</w:t>
            </w:r>
          </w:p>
        </w:tc>
        <w:tc>
          <w:tcPr>
            <w:tcW w:w="1123" w:type="dxa"/>
          </w:tcPr>
          <w:p w14:paraId="5702E38A" w14:textId="632F8008" w:rsidR="00AA78E1" w:rsidRPr="00011067" w:rsidRDefault="000C22E1" w:rsidP="00011067">
            <w:pPr>
              <w:spacing w:line="240" w:lineRule="auto"/>
              <w:rPr>
                <w:sz w:val="20"/>
                <w:szCs w:val="20"/>
              </w:rPr>
            </w:pPr>
            <w:r w:rsidRPr="00011067">
              <w:rPr>
                <w:sz w:val="20"/>
                <w:szCs w:val="20"/>
              </w:rPr>
              <w:t>1.0 ($150)</w:t>
            </w:r>
          </w:p>
        </w:tc>
        <w:tc>
          <w:tcPr>
            <w:tcW w:w="1080" w:type="dxa"/>
          </w:tcPr>
          <w:p w14:paraId="24DFFCE0" w14:textId="601F73BC" w:rsidR="00AA78E1" w:rsidRPr="00011067" w:rsidRDefault="000C22E1" w:rsidP="00011067">
            <w:pPr>
              <w:spacing w:line="240" w:lineRule="auto"/>
              <w:rPr>
                <w:sz w:val="20"/>
                <w:szCs w:val="20"/>
              </w:rPr>
            </w:pPr>
            <w:r w:rsidRPr="00011067">
              <w:rPr>
                <w:sz w:val="20"/>
                <w:szCs w:val="20"/>
              </w:rPr>
              <w:t>Excessive</w:t>
            </w:r>
          </w:p>
        </w:tc>
        <w:tc>
          <w:tcPr>
            <w:tcW w:w="1620" w:type="dxa"/>
          </w:tcPr>
          <w:p w14:paraId="3FF4EBC0" w14:textId="2B18F730" w:rsidR="00AA78E1" w:rsidRPr="00011067" w:rsidRDefault="00360D26" w:rsidP="00011067">
            <w:pPr>
              <w:spacing w:line="240" w:lineRule="auto"/>
              <w:rPr>
                <w:sz w:val="20"/>
                <w:szCs w:val="20"/>
              </w:rPr>
            </w:pPr>
            <w:r w:rsidRPr="00011067">
              <w:rPr>
                <w:sz w:val="20"/>
                <w:szCs w:val="20"/>
              </w:rPr>
              <w:t xml:space="preserve">The notice is a form document. </w:t>
            </w:r>
            <w:proofErr w:type="spellStart"/>
            <w:r w:rsidRPr="00011067">
              <w:rPr>
                <w:sz w:val="20"/>
                <w:szCs w:val="20"/>
              </w:rPr>
              <w:t>Att</w:t>
            </w:r>
            <w:r w:rsidR="00011067" w:rsidRPr="00011067">
              <w:rPr>
                <w:sz w:val="20"/>
                <w:szCs w:val="20"/>
              </w:rPr>
              <w:t>ny</w:t>
            </w:r>
            <w:proofErr w:type="spellEnd"/>
            <w:r w:rsidR="00011067" w:rsidRPr="00011067">
              <w:rPr>
                <w:sz w:val="20"/>
                <w:szCs w:val="20"/>
              </w:rPr>
              <w:t xml:space="preserve"> </w:t>
            </w:r>
            <w:r w:rsidRPr="00011067">
              <w:rPr>
                <w:sz w:val="20"/>
                <w:szCs w:val="20"/>
              </w:rPr>
              <w:t>should not charge for basic research</w:t>
            </w:r>
          </w:p>
        </w:tc>
        <w:tc>
          <w:tcPr>
            <w:tcW w:w="1615" w:type="dxa"/>
          </w:tcPr>
          <w:p w14:paraId="3204FE71" w14:textId="005B5E78" w:rsidR="00AA78E1" w:rsidRPr="00011067" w:rsidRDefault="00360D26" w:rsidP="00011067">
            <w:pPr>
              <w:spacing w:line="240" w:lineRule="auto"/>
              <w:rPr>
                <w:sz w:val="20"/>
                <w:szCs w:val="20"/>
              </w:rPr>
            </w:pPr>
            <w:r w:rsidRPr="00011067">
              <w:rPr>
                <w:sz w:val="20"/>
                <w:szCs w:val="20"/>
              </w:rPr>
              <w:t>No response</w:t>
            </w:r>
          </w:p>
        </w:tc>
      </w:tr>
      <w:tr w:rsidR="00011067" w14:paraId="36361C47" w14:textId="77777777" w:rsidTr="00011067">
        <w:tc>
          <w:tcPr>
            <w:tcW w:w="984" w:type="dxa"/>
          </w:tcPr>
          <w:p w14:paraId="65940273" w14:textId="1453D8BE" w:rsidR="000C22E1" w:rsidRPr="00011067" w:rsidRDefault="00011067" w:rsidP="00011067">
            <w:pPr>
              <w:spacing w:line="240" w:lineRule="auto"/>
              <w:rPr>
                <w:sz w:val="20"/>
                <w:szCs w:val="20"/>
              </w:rPr>
            </w:pPr>
            <w:r w:rsidRPr="00011067">
              <w:rPr>
                <w:sz w:val="20"/>
                <w:szCs w:val="20"/>
              </w:rPr>
              <w:t>J. Doe</w:t>
            </w:r>
          </w:p>
        </w:tc>
        <w:tc>
          <w:tcPr>
            <w:tcW w:w="829" w:type="dxa"/>
          </w:tcPr>
          <w:p w14:paraId="7A2ED7DB" w14:textId="1FB03F3F" w:rsidR="000C22E1" w:rsidRPr="00011067" w:rsidRDefault="00011067" w:rsidP="00011067">
            <w:pPr>
              <w:spacing w:line="240" w:lineRule="auto"/>
              <w:rPr>
                <w:sz w:val="20"/>
                <w:szCs w:val="20"/>
              </w:rPr>
            </w:pPr>
            <w:r w:rsidRPr="00011067">
              <w:rPr>
                <w:sz w:val="20"/>
                <w:szCs w:val="20"/>
              </w:rPr>
              <w:t>2/20/08</w:t>
            </w:r>
          </w:p>
        </w:tc>
        <w:tc>
          <w:tcPr>
            <w:tcW w:w="1276" w:type="dxa"/>
          </w:tcPr>
          <w:p w14:paraId="721BE3D7" w14:textId="3C2ED5F3" w:rsidR="000C22E1" w:rsidRPr="00011067" w:rsidRDefault="00011067" w:rsidP="00011067">
            <w:pPr>
              <w:spacing w:line="240" w:lineRule="auto"/>
              <w:rPr>
                <w:sz w:val="20"/>
                <w:szCs w:val="20"/>
              </w:rPr>
            </w:pPr>
            <w:r w:rsidRPr="00011067">
              <w:rPr>
                <w:sz w:val="20"/>
                <w:szCs w:val="20"/>
              </w:rPr>
              <w:t>Calendared dates</w:t>
            </w:r>
          </w:p>
        </w:tc>
        <w:tc>
          <w:tcPr>
            <w:tcW w:w="1183" w:type="dxa"/>
          </w:tcPr>
          <w:p w14:paraId="3300B5E7" w14:textId="55C9E8AD" w:rsidR="000C22E1" w:rsidRPr="00011067" w:rsidRDefault="00011067" w:rsidP="00011067">
            <w:pPr>
              <w:spacing w:line="240" w:lineRule="auto"/>
              <w:rPr>
                <w:sz w:val="20"/>
                <w:szCs w:val="20"/>
              </w:rPr>
            </w:pPr>
            <w:r w:rsidRPr="00011067">
              <w:rPr>
                <w:sz w:val="20"/>
                <w:szCs w:val="20"/>
              </w:rPr>
              <w:t>1.0 ($150)</w:t>
            </w:r>
          </w:p>
        </w:tc>
        <w:tc>
          <w:tcPr>
            <w:tcW w:w="1123" w:type="dxa"/>
          </w:tcPr>
          <w:p w14:paraId="3D4F3011" w14:textId="011E6CF4" w:rsidR="000C22E1" w:rsidRPr="00011067" w:rsidRDefault="00011067" w:rsidP="00011067">
            <w:pPr>
              <w:spacing w:line="240" w:lineRule="auto"/>
              <w:rPr>
                <w:sz w:val="20"/>
                <w:szCs w:val="20"/>
              </w:rPr>
            </w:pPr>
            <w:r w:rsidRPr="00011067">
              <w:rPr>
                <w:sz w:val="20"/>
                <w:szCs w:val="20"/>
              </w:rPr>
              <w:t>1.0 ($150)</w:t>
            </w:r>
          </w:p>
        </w:tc>
        <w:tc>
          <w:tcPr>
            <w:tcW w:w="1080" w:type="dxa"/>
          </w:tcPr>
          <w:p w14:paraId="21F3CB27" w14:textId="1F7BBA30" w:rsidR="000C22E1" w:rsidRPr="00011067" w:rsidRDefault="00011067" w:rsidP="00011067">
            <w:pPr>
              <w:spacing w:line="240" w:lineRule="auto"/>
              <w:rPr>
                <w:sz w:val="20"/>
                <w:szCs w:val="20"/>
              </w:rPr>
            </w:pPr>
            <w:r w:rsidRPr="00011067">
              <w:rPr>
                <w:sz w:val="20"/>
                <w:szCs w:val="20"/>
              </w:rPr>
              <w:t>Clerical work</w:t>
            </w:r>
          </w:p>
        </w:tc>
        <w:tc>
          <w:tcPr>
            <w:tcW w:w="1620" w:type="dxa"/>
          </w:tcPr>
          <w:p w14:paraId="20C55BE1" w14:textId="34F7F506" w:rsidR="000C22E1" w:rsidRPr="00011067" w:rsidRDefault="00011067" w:rsidP="00011067">
            <w:pPr>
              <w:spacing w:line="240" w:lineRule="auto"/>
              <w:rPr>
                <w:sz w:val="20"/>
                <w:szCs w:val="20"/>
              </w:rPr>
            </w:pPr>
            <w:proofErr w:type="spellStart"/>
            <w:r w:rsidRPr="00011067">
              <w:rPr>
                <w:sz w:val="20"/>
                <w:szCs w:val="20"/>
              </w:rPr>
              <w:t>Attny</w:t>
            </w:r>
            <w:proofErr w:type="spellEnd"/>
            <w:r w:rsidRPr="00011067">
              <w:rPr>
                <w:sz w:val="20"/>
                <w:szCs w:val="20"/>
              </w:rPr>
              <w:t xml:space="preserve"> cannot charge for clerical work</w:t>
            </w:r>
          </w:p>
        </w:tc>
        <w:tc>
          <w:tcPr>
            <w:tcW w:w="1615" w:type="dxa"/>
          </w:tcPr>
          <w:p w14:paraId="4E628FDE" w14:textId="0F823513" w:rsidR="000C22E1" w:rsidRPr="00011067" w:rsidRDefault="00011067" w:rsidP="00011067">
            <w:pPr>
              <w:spacing w:line="240" w:lineRule="auto"/>
              <w:rPr>
                <w:sz w:val="20"/>
                <w:szCs w:val="20"/>
              </w:rPr>
            </w:pPr>
            <w:r w:rsidRPr="00011067">
              <w:rPr>
                <w:sz w:val="20"/>
                <w:szCs w:val="20"/>
              </w:rPr>
              <w:t>No response</w:t>
            </w:r>
          </w:p>
        </w:tc>
      </w:tr>
    </w:tbl>
    <w:p w14:paraId="240B1157" w14:textId="4BD321B5" w:rsidR="00AA78E1" w:rsidRDefault="00AA78E1" w:rsidP="00F45A35">
      <w:pPr>
        <w:rPr>
          <w:sz w:val="24"/>
          <w:szCs w:val="24"/>
        </w:rPr>
      </w:pPr>
    </w:p>
    <w:p w14:paraId="0B7917F0" w14:textId="04822C64" w:rsidR="00256241" w:rsidRPr="00F45A35" w:rsidRDefault="00EA65BC" w:rsidP="00AA78E1">
      <w:pPr>
        <w:ind w:firstLine="720"/>
        <w:rPr>
          <w:sz w:val="24"/>
          <w:szCs w:val="24"/>
        </w:rPr>
      </w:pPr>
      <w:r w:rsidRPr="00EA65BC">
        <w:rPr>
          <w:sz w:val="24"/>
          <w:szCs w:val="24"/>
        </w:rPr>
        <w:t>A</w:t>
      </w:r>
      <w:r>
        <w:rPr>
          <w:sz w:val="24"/>
          <w:szCs w:val="24"/>
        </w:rPr>
        <w:t xml:space="preserve"> </w:t>
      </w:r>
      <w:r w:rsidRPr="00EA65BC">
        <w:rPr>
          <w:sz w:val="24"/>
          <w:szCs w:val="24"/>
        </w:rPr>
        <w:t>separate</w:t>
      </w:r>
      <w:r>
        <w:rPr>
          <w:sz w:val="24"/>
          <w:szCs w:val="24"/>
        </w:rPr>
        <w:t xml:space="preserve"> </w:t>
      </w:r>
      <w:r w:rsidRPr="00EA65BC">
        <w:rPr>
          <w:sz w:val="24"/>
          <w:szCs w:val="24"/>
        </w:rPr>
        <w:t>spreadsheet or table must be prepared for any nontaxable costs sought by the</w:t>
      </w:r>
      <w:r w:rsidR="00F45A35">
        <w:rPr>
          <w:sz w:val="24"/>
          <w:szCs w:val="24"/>
        </w:rPr>
        <w:t xml:space="preserve"> </w:t>
      </w:r>
      <w:r w:rsidR="00F45A35" w:rsidRPr="00F45A35">
        <w:rPr>
          <w:sz w:val="24"/>
          <w:szCs w:val="24"/>
        </w:rPr>
        <w:t>moving party.</w:t>
      </w:r>
      <w:r w:rsidR="00F45A35">
        <w:rPr>
          <w:sz w:val="24"/>
          <w:szCs w:val="24"/>
        </w:rPr>
        <w:t xml:space="preserve"> </w:t>
      </w:r>
      <w:r w:rsidR="00F45A35" w:rsidRPr="00F45A35">
        <w:rPr>
          <w:sz w:val="24"/>
          <w:szCs w:val="24"/>
        </w:rPr>
        <w:t>The spreadsheet of nontaxable costs must include columns</w:t>
      </w:r>
      <w:r w:rsidR="00F45A35">
        <w:rPr>
          <w:sz w:val="24"/>
          <w:szCs w:val="24"/>
        </w:rPr>
        <w:t xml:space="preserve"> </w:t>
      </w:r>
      <w:r w:rsidR="00F45A35" w:rsidRPr="00F45A35">
        <w:rPr>
          <w:sz w:val="24"/>
          <w:szCs w:val="24"/>
        </w:rPr>
        <w:t>to identify: (1) the item; (2) the amount sought by the moving party for the item;</w:t>
      </w:r>
      <w:r w:rsidR="00F45A35">
        <w:rPr>
          <w:sz w:val="24"/>
          <w:szCs w:val="24"/>
        </w:rPr>
        <w:t xml:space="preserve"> </w:t>
      </w:r>
      <w:r w:rsidR="00F45A35" w:rsidRPr="00F45A35">
        <w:rPr>
          <w:sz w:val="24"/>
          <w:szCs w:val="24"/>
        </w:rPr>
        <w:t>(3) the amount, if any, the opposing party believes should be awarded for the item;</w:t>
      </w:r>
      <w:r w:rsidR="00F45A35">
        <w:rPr>
          <w:sz w:val="24"/>
          <w:szCs w:val="24"/>
        </w:rPr>
        <w:t xml:space="preserve"> </w:t>
      </w:r>
      <w:r w:rsidR="00F45A35" w:rsidRPr="00F45A35">
        <w:rPr>
          <w:sz w:val="24"/>
          <w:szCs w:val="24"/>
        </w:rPr>
        <w:t>and for disputed items (4) a brief summary of the moving party’s position; and (5)</w:t>
      </w:r>
      <w:r w:rsidR="00F45A35">
        <w:rPr>
          <w:sz w:val="24"/>
          <w:szCs w:val="24"/>
        </w:rPr>
        <w:t xml:space="preserve"> </w:t>
      </w:r>
      <w:r w:rsidR="00F45A35" w:rsidRPr="00F45A35">
        <w:rPr>
          <w:sz w:val="24"/>
          <w:szCs w:val="24"/>
        </w:rPr>
        <w:t>a brief summary of the opposing party’s position.</w:t>
      </w:r>
    </w:p>
    <w:p w14:paraId="5B602112" w14:textId="2FF8A92F" w:rsidR="005E748D" w:rsidRDefault="005E748D" w:rsidP="005E748D">
      <w:pPr>
        <w:ind w:firstLine="720"/>
        <w:rPr>
          <w:sz w:val="24"/>
          <w:szCs w:val="24"/>
        </w:rPr>
      </w:pPr>
      <w:r w:rsidRPr="005E748D">
        <w:rPr>
          <w:sz w:val="24"/>
          <w:szCs w:val="24"/>
        </w:rPr>
        <w:lastRenderedPageBreak/>
        <w:t>Following the conference of counsel, and no more than 14 days before the</w:t>
      </w:r>
      <w:r>
        <w:rPr>
          <w:sz w:val="24"/>
          <w:szCs w:val="24"/>
        </w:rPr>
        <w:t xml:space="preserve"> </w:t>
      </w:r>
      <w:r w:rsidRPr="005E748D">
        <w:rPr>
          <w:sz w:val="24"/>
          <w:szCs w:val="24"/>
        </w:rPr>
        <w:t>filing of the motion, the moving party must provide to the opposing party the final</w:t>
      </w:r>
      <w:r>
        <w:rPr>
          <w:sz w:val="24"/>
          <w:szCs w:val="24"/>
        </w:rPr>
        <w:t xml:space="preserve"> </w:t>
      </w:r>
      <w:r w:rsidRPr="005E748D">
        <w:rPr>
          <w:sz w:val="24"/>
          <w:szCs w:val="24"/>
        </w:rPr>
        <w:t>version of its portion of the Joint Statement in an electronic format. The opposing</w:t>
      </w:r>
      <w:r>
        <w:rPr>
          <w:sz w:val="24"/>
          <w:szCs w:val="24"/>
        </w:rPr>
        <w:t xml:space="preserve"> </w:t>
      </w:r>
      <w:r w:rsidRPr="005E748D">
        <w:rPr>
          <w:sz w:val="24"/>
          <w:szCs w:val="24"/>
        </w:rPr>
        <w:t>party shall then input its portion of the Joint Statement into the document and</w:t>
      </w:r>
      <w:r>
        <w:rPr>
          <w:sz w:val="24"/>
          <w:szCs w:val="24"/>
        </w:rPr>
        <w:t xml:space="preserve"> </w:t>
      </w:r>
      <w:r w:rsidRPr="005E748D">
        <w:rPr>
          <w:sz w:val="24"/>
          <w:szCs w:val="24"/>
        </w:rPr>
        <w:t>return the completed document to the moving party at least seven days prior to the</w:t>
      </w:r>
      <w:r>
        <w:rPr>
          <w:sz w:val="24"/>
          <w:szCs w:val="24"/>
        </w:rPr>
        <w:t xml:space="preserve"> </w:t>
      </w:r>
      <w:r w:rsidRPr="005E748D">
        <w:rPr>
          <w:sz w:val="24"/>
          <w:szCs w:val="24"/>
        </w:rPr>
        <w:t>filing of the motion. The moving party shall then file the Joint Statement at the</w:t>
      </w:r>
      <w:r>
        <w:rPr>
          <w:sz w:val="24"/>
          <w:szCs w:val="24"/>
        </w:rPr>
        <w:t xml:space="preserve"> </w:t>
      </w:r>
      <w:r w:rsidRPr="005E748D">
        <w:rPr>
          <w:sz w:val="24"/>
          <w:szCs w:val="24"/>
        </w:rPr>
        <w:t>same time it files the motion. In addition to filing the Joint Statement, the moving</w:t>
      </w:r>
      <w:r>
        <w:rPr>
          <w:sz w:val="24"/>
          <w:szCs w:val="24"/>
        </w:rPr>
        <w:t xml:space="preserve"> </w:t>
      </w:r>
      <w:r w:rsidRPr="005E748D">
        <w:rPr>
          <w:sz w:val="24"/>
          <w:szCs w:val="24"/>
        </w:rPr>
        <w:t>party shall email an electronic version of the Joint Statement to this Court’s</w:t>
      </w:r>
      <w:r>
        <w:rPr>
          <w:sz w:val="24"/>
          <w:szCs w:val="24"/>
        </w:rPr>
        <w:t xml:space="preserve"> </w:t>
      </w:r>
      <w:r w:rsidRPr="005E748D">
        <w:rPr>
          <w:sz w:val="24"/>
          <w:szCs w:val="24"/>
        </w:rPr>
        <w:t>chambers</w:t>
      </w:r>
      <w:r w:rsidR="00F96701">
        <w:rPr>
          <w:sz w:val="24"/>
          <w:szCs w:val="24"/>
        </w:rPr>
        <w:t xml:space="preserve"> email address at </w:t>
      </w:r>
      <w:r w:rsidR="00F96701" w:rsidRPr="00B852E9">
        <w:rPr>
          <w:sz w:val="24"/>
          <w:szCs w:val="24"/>
        </w:rPr>
        <w:t>MEMF_Chambers@cacd.uscourts.gov</w:t>
      </w:r>
      <w:r w:rsidR="00F96701">
        <w:rPr>
          <w:sz w:val="24"/>
          <w:szCs w:val="24"/>
        </w:rPr>
        <w:t>.</w:t>
      </w:r>
      <w:r w:rsidRPr="005E748D">
        <w:rPr>
          <w:sz w:val="24"/>
          <w:szCs w:val="24"/>
        </w:rPr>
        <w:t xml:space="preserve"> </w:t>
      </w:r>
      <w:r w:rsidR="00A91C02">
        <w:rPr>
          <w:sz w:val="24"/>
          <w:szCs w:val="24"/>
        </w:rPr>
        <w:t>The</w:t>
      </w:r>
      <w:r w:rsidR="00A91C02" w:rsidRPr="00D1201F">
        <w:rPr>
          <w:sz w:val="24"/>
          <w:szCs w:val="24"/>
        </w:rPr>
        <w:t xml:space="preserve"> courtesy cop</w:t>
      </w:r>
      <w:r w:rsidR="00A91C02">
        <w:rPr>
          <w:sz w:val="24"/>
          <w:szCs w:val="24"/>
        </w:rPr>
        <w:t>ies</w:t>
      </w:r>
      <w:r w:rsidR="00A91C02" w:rsidRPr="00D1201F">
        <w:rPr>
          <w:sz w:val="24"/>
          <w:szCs w:val="24"/>
        </w:rPr>
        <w:t xml:space="preserve"> of </w:t>
      </w:r>
      <w:r w:rsidR="00A91C02">
        <w:rPr>
          <w:sz w:val="24"/>
          <w:szCs w:val="24"/>
        </w:rPr>
        <w:t xml:space="preserve">the </w:t>
      </w:r>
      <w:r w:rsidR="00A91C02" w:rsidRPr="00D1201F">
        <w:rPr>
          <w:sz w:val="24"/>
          <w:szCs w:val="24"/>
        </w:rPr>
        <w:t>table</w:t>
      </w:r>
      <w:r w:rsidR="00A91C02">
        <w:rPr>
          <w:sz w:val="24"/>
          <w:szCs w:val="24"/>
        </w:rPr>
        <w:t>s</w:t>
      </w:r>
      <w:r w:rsidR="00A91C02" w:rsidRPr="00D1201F">
        <w:rPr>
          <w:sz w:val="24"/>
          <w:szCs w:val="24"/>
        </w:rPr>
        <w:t xml:space="preserve"> shall be prepared in Excel</w:t>
      </w:r>
      <w:r w:rsidR="00A91C02">
        <w:rPr>
          <w:sz w:val="24"/>
          <w:szCs w:val="24"/>
        </w:rPr>
        <w:t xml:space="preserve">, </w:t>
      </w:r>
      <w:r w:rsidR="00A91C02" w:rsidRPr="00D1201F">
        <w:rPr>
          <w:sz w:val="24"/>
          <w:szCs w:val="24"/>
        </w:rPr>
        <w:t>have all restrictions removed so the spreadsheet</w:t>
      </w:r>
      <w:r w:rsidR="00A91C02">
        <w:rPr>
          <w:sz w:val="24"/>
          <w:szCs w:val="24"/>
        </w:rPr>
        <w:t>s</w:t>
      </w:r>
      <w:r w:rsidR="00A91C02" w:rsidRPr="00D1201F">
        <w:rPr>
          <w:sz w:val="24"/>
          <w:szCs w:val="24"/>
        </w:rPr>
        <w:t xml:space="preserve"> can be edited</w:t>
      </w:r>
      <w:r w:rsidR="00A91C02">
        <w:rPr>
          <w:sz w:val="24"/>
          <w:szCs w:val="24"/>
        </w:rPr>
        <w:t>, and</w:t>
      </w:r>
      <w:r w:rsidR="00A91C02" w:rsidRPr="00D1201F">
        <w:rPr>
          <w:sz w:val="24"/>
          <w:szCs w:val="24"/>
        </w:rPr>
        <w:t xml:space="preserve"> </w:t>
      </w:r>
      <w:r w:rsidR="00A91C02">
        <w:rPr>
          <w:sz w:val="24"/>
          <w:szCs w:val="24"/>
        </w:rPr>
        <w:t xml:space="preserve">be </w:t>
      </w:r>
      <w:r w:rsidR="00A91C02" w:rsidRPr="00D1201F">
        <w:rPr>
          <w:sz w:val="24"/>
          <w:szCs w:val="24"/>
        </w:rPr>
        <w:t xml:space="preserve">emailed to the </w:t>
      </w:r>
      <w:r w:rsidR="008D51DC">
        <w:rPr>
          <w:sz w:val="24"/>
          <w:szCs w:val="24"/>
        </w:rPr>
        <w:t>Court</w:t>
      </w:r>
      <w:r w:rsidR="00A91C02" w:rsidRPr="00D1201F">
        <w:rPr>
          <w:sz w:val="24"/>
          <w:szCs w:val="24"/>
        </w:rPr>
        <w:t>.</w:t>
      </w:r>
      <w:r w:rsidR="00A91C02">
        <w:rPr>
          <w:sz w:val="24"/>
          <w:szCs w:val="24"/>
        </w:rPr>
        <w:t xml:space="preserve"> </w:t>
      </w:r>
      <w:r w:rsidR="008D51DC">
        <w:rPr>
          <w:sz w:val="24"/>
          <w:szCs w:val="24"/>
        </w:rPr>
        <w:t>C</w:t>
      </w:r>
      <w:r w:rsidRPr="005E748D">
        <w:rPr>
          <w:sz w:val="24"/>
          <w:szCs w:val="24"/>
        </w:rPr>
        <w:t xml:space="preserve">opies of </w:t>
      </w:r>
      <w:r w:rsidR="005F0462">
        <w:rPr>
          <w:sz w:val="24"/>
          <w:szCs w:val="24"/>
        </w:rPr>
        <w:t xml:space="preserve">all </w:t>
      </w:r>
      <w:r w:rsidRPr="005E748D">
        <w:rPr>
          <w:sz w:val="24"/>
          <w:szCs w:val="24"/>
        </w:rPr>
        <w:t>invoices should be</w:t>
      </w:r>
      <w:r>
        <w:rPr>
          <w:sz w:val="24"/>
          <w:szCs w:val="24"/>
        </w:rPr>
        <w:t xml:space="preserve"> </w:t>
      </w:r>
      <w:r w:rsidRPr="005E748D">
        <w:rPr>
          <w:sz w:val="24"/>
          <w:szCs w:val="24"/>
        </w:rPr>
        <w:t>unredacted</w:t>
      </w:r>
      <w:r w:rsidR="008D51DC">
        <w:rPr>
          <w:sz w:val="24"/>
          <w:szCs w:val="24"/>
        </w:rPr>
        <w:t xml:space="preserve"> and emailed to the Court</w:t>
      </w:r>
      <w:r w:rsidRPr="005E748D">
        <w:rPr>
          <w:sz w:val="24"/>
          <w:szCs w:val="24"/>
        </w:rPr>
        <w:t>.</w:t>
      </w:r>
    </w:p>
    <w:p w14:paraId="176840F7" w14:textId="032651CD" w:rsidR="006519D1" w:rsidRPr="00D1201F" w:rsidRDefault="00A91C02" w:rsidP="00C22387">
      <w:pPr>
        <w:ind w:firstLine="720"/>
        <w:rPr>
          <w:sz w:val="24"/>
          <w:szCs w:val="24"/>
        </w:rPr>
      </w:pPr>
      <w:r>
        <w:rPr>
          <w:sz w:val="24"/>
          <w:szCs w:val="24"/>
        </w:rPr>
        <w:t xml:space="preserve">Submissions that do not meet these requirements will not be considered. </w:t>
      </w:r>
    </w:p>
    <w:p w14:paraId="1590FCFB" w14:textId="75908C2A" w:rsidR="006519D1" w:rsidRPr="00D1201F" w:rsidRDefault="006519D1" w:rsidP="006519D1">
      <w:pPr>
        <w:numPr>
          <w:ilvl w:val="1"/>
          <w:numId w:val="26"/>
        </w:numPr>
        <w:ind w:left="0" w:firstLine="720"/>
        <w:rPr>
          <w:b/>
          <w:bCs/>
          <w:sz w:val="24"/>
          <w:szCs w:val="24"/>
          <w:u w:val="single"/>
        </w:rPr>
      </w:pPr>
      <w:r w:rsidRPr="00D1201F">
        <w:rPr>
          <w:b/>
          <w:bCs/>
          <w:sz w:val="24"/>
          <w:szCs w:val="24"/>
        </w:rPr>
        <w:t xml:space="preserve">Under Seal Filings: </w:t>
      </w:r>
      <w:r w:rsidR="00211D2A" w:rsidRPr="001E027C">
        <w:rPr>
          <w:sz w:val="24"/>
          <w:szCs w:val="24"/>
        </w:rPr>
        <w:t>The Court requires strict compliance with</w:t>
      </w:r>
      <w:r w:rsidR="00211D2A">
        <w:rPr>
          <w:b/>
          <w:bCs/>
          <w:sz w:val="24"/>
          <w:szCs w:val="24"/>
        </w:rPr>
        <w:t xml:space="preserve"> </w:t>
      </w:r>
      <w:r w:rsidRPr="00D1201F">
        <w:rPr>
          <w:sz w:val="24"/>
          <w:szCs w:val="24"/>
        </w:rPr>
        <w:t>Local Rule 79-5</w:t>
      </w:r>
      <w:r w:rsidR="00211D2A">
        <w:rPr>
          <w:sz w:val="24"/>
          <w:szCs w:val="24"/>
        </w:rPr>
        <w:t>, which</w:t>
      </w:r>
      <w:r w:rsidRPr="00D1201F">
        <w:rPr>
          <w:sz w:val="24"/>
          <w:szCs w:val="24"/>
        </w:rPr>
        <w:t xml:space="preserve"> governs applications to file documents under seal. Local Rule 79-5.2.2 explains how to apply to file under seal and how to proceed if leave is granted. </w:t>
      </w:r>
    </w:p>
    <w:p w14:paraId="0AA477F1" w14:textId="77777777" w:rsidR="008C3734" w:rsidRDefault="006519D1" w:rsidP="00797218">
      <w:pPr>
        <w:ind w:firstLine="720"/>
        <w:rPr>
          <w:sz w:val="24"/>
          <w:szCs w:val="24"/>
        </w:rPr>
      </w:pPr>
      <w:r w:rsidRPr="00D1201F">
        <w:rPr>
          <w:sz w:val="24"/>
          <w:szCs w:val="24"/>
        </w:rPr>
        <w:t xml:space="preserve">There is a strong presumption of access in civil actions. </w:t>
      </w:r>
      <w:r w:rsidRPr="00D1201F">
        <w:rPr>
          <w:i/>
          <w:iCs/>
          <w:sz w:val="24"/>
          <w:szCs w:val="24"/>
        </w:rPr>
        <w:t>Foltz v. State Farm Mut. Auto. Ins. Co.</w:t>
      </w:r>
      <w:r w:rsidRPr="00D1201F">
        <w:rPr>
          <w:sz w:val="24"/>
          <w:szCs w:val="24"/>
        </w:rPr>
        <w:t>, 331 F.3d 1122, 1135 (9th Cir. 2003).</w:t>
      </w:r>
      <w:r w:rsidR="00211D2A">
        <w:rPr>
          <w:sz w:val="24"/>
          <w:szCs w:val="24"/>
        </w:rPr>
        <w:t xml:space="preserve"> Parties that submit frivolous motions to seal or overly broad motions </w:t>
      </w:r>
      <w:r w:rsidR="008C3734">
        <w:rPr>
          <w:sz w:val="24"/>
          <w:szCs w:val="24"/>
        </w:rPr>
        <w:t>will be subject to sanction.</w:t>
      </w:r>
    </w:p>
    <w:p w14:paraId="7645D3F7" w14:textId="0D5C0D10" w:rsidR="006519D1" w:rsidRDefault="007F75FD" w:rsidP="007F75FD">
      <w:pPr>
        <w:ind w:firstLine="720"/>
        <w:rPr>
          <w:sz w:val="24"/>
          <w:szCs w:val="24"/>
        </w:rPr>
      </w:pPr>
      <w:r w:rsidRPr="001E027C">
        <w:rPr>
          <w:rStyle w:val="normaltextrun"/>
          <w:color w:val="000000"/>
          <w:sz w:val="24"/>
          <w:szCs w:val="24"/>
          <w:shd w:val="clear" w:color="auto" w:fill="FFFFFF"/>
        </w:rPr>
        <w:t xml:space="preserve">When submitting a motion to seal, the filing party must state whether the compelling reasons or good cause standard applies and explain why. </w:t>
      </w:r>
      <w:r w:rsidRPr="001E027C">
        <w:rPr>
          <w:rStyle w:val="normaltextrun"/>
          <w:i/>
          <w:color w:val="000000"/>
          <w:sz w:val="24"/>
          <w:szCs w:val="24"/>
          <w:shd w:val="clear" w:color="auto" w:fill="FFFFFF"/>
        </w:rPr>
        <w:t>See Center for Auto Safety v. Chrysler Group, LLC</w:t>
      </w:r>
      <w:r w:rsidRPr="001E027C">
        <w:rPr>
          <w:rStyle w:val="normaltextrun"/>
          <w:color w:val="000000"/>
          <w:sz w:val="24"/>
          <w:szCs w:val="24"/>
          <w:shd w:val="clear" w:color="auto" w:fill="FFFFFF"/>
        </w:rPr>
        <w:t>, 809 F.3d 1092, 1099 (9th Cir. 2016). </w:t>
      </w:r>
      <w:r w:rsidR="006519D1" w:rsidRPr="00D1201F">
        <w:rPr>
          <w:sz w:val="24"/>
          <w:szCs w:val="24"/>
        </w:rPr>
        <w:t xml:space="preserve"> </w:t>
      </w:r>
      <w:r>
        <w:rPr>
          <w:sz w:val="24"/>
          <w:szCs w:val="24"/>
        </w:rPr>
        <w:t>T</w:t>
      </w:r>
      <w:r w:rsidR="006519D1" w:rsidRPr="00D1201F">
        <w:rPr>
          <w:sz w:val="24"/>
          <w:szCs w:val="24"/>
        </w:rPr>
        <w:t xml:space="preserve">he party must identify and discuss the factual and/or legal justification that establishes “good cause” or “compelling reasons” for the information to be protected. </w:t>
      </w:r>
    </w:p>
    <w:p w14:paraId="66B11AF3" w14:textId="169EA356" w:rsidR="00B36507" w:rsidRPr="001E027C" w:rsidRDefault="00B36507" w:rsidP="001E027C">
      <w:pPr>
        <w:ind w:firstLine="720"/>
        <w:rPr>
          <w:sz w:val="24"/>
          <w:szCs w:val="24"/>
        </w:rPr>
      </w:pPr>
      <w:r w:rsidRPr="001E027C">
        <w:rPr>
          <w:sz w:val="24"/>
          <w:szCs w:val="24"/>
        </w:rPr>
        <w:t xml:space="preserve">The filing party must make a specific </w:t>
      </w:r>
      <w:proofErr w:type="gramStart"/>
      <w:r w:rsidRPr="001E027C">
        <w:rPr>
          <w:sz w:val="24"/>
          <w:szCs w:val="24"/>
        </w:rPr>
        <w:t>showing</w:t>
      </w:r>
      <w:proofErr w:type="gramEnd"/>
      <w:r w:rsidRPr="001E027C">
        <w:rPr>
          <w:sz w:val="24"/>
          <w:szCs w:val="24"/>
        </w:rPr>
        <w:t xml:space="preserve"> explaining why each document that it seeks to seal may justifiably be sealed and why the proposed redactions are as narrowly tailored as possible, rather than making a blanket statement about the grounds for sealing. Generic and vague references to “competitive harm” are almost always insufficient justification for sealing. If a party files a request to seal that is significantly overbroad and/or does not provide adequate reasons for </w:t>
      </w:r>
      <w:r w:rsidRPr="001E027C">
        <w:rPr>
          <w:sz w:val="24"/>
          <w:szCs w:val="24"/>
        </w:rPr>
        <w:lastRenderedPageBreak/>
        <w:t>concealing information from the public, the party bears the risk that the Court will simply deny the request in its entirety and place all documents sought to be sealed on the public docket.</w:t>
      </w:r>
    </w:p>
    <w:p w14:paraId="6FE1A011" w14:textId="77777777" w:rsidR="006519D1" w:rsidRPr="00D1201F" w:rsidRDefault="006519D1" w:rsidP="001E027C">
      <w:pPr>
        <w:ind w:firstLine="720"/>
        <w:rPr>
          <w:b/>
          <w:bCs/>
          <w:sz w:val="24"/>
          <w:szCs w:val="24"/>
          <w:u w:val="single"/>
        </w:rPr>
      </w:pPr>
      <w:r w:rsidRPr="00D1201F">
        <w:rPr>
          <w:sz w:val="24"/>
          <w:szCs w:val="24"/>
        </w:rPr>
        <w:t xml:space="preserve">Documents that are not confidential or privileged in their entirety should not be filed under seal if the confidential portions can be redacted and filed separately with a reasonable amount of effort. The parties should file a complete version of the documents under seal and a redacted version for public viewing, omitting only the portions that the </w:t>
      </w:r>
      <w:r>
        <w:rPr>
          <w:sz w:val="24"/>
          <w:szCs w:val="24"/>
        </w:rPr>
        <w:t>C</w:t>
      </w:r>
      <w:r w:rsidRPr="00D1201F">
        <w:rPr>
          <w:sz w:val="24"/>
          <w:szCs w:val="24"/>
        </w:rPr>
        <w:t>ourt has authorized to be filed under seal.</w:t>
      </w:r>
    </w:p>
    <w:p w14:paraId="3DC69766" w14:textId="6A1BF150" w:rsidR="006519D1" w:rsidRDefault="006519D1" w:rsidP="00797218">
      <w:pPr>
        <w:ind w:firstLine="720"/>
        <w:rPr>
          <w:sz w:val="24"/>
          <w:szCs w:val="24"/>
        </w:rPr>
      </w:pPr>
      <w:r w:rsidRPr="00D1201F">
        <w:rPr>
          <w:sz w:val="24"/>
          <w:szCs w:val="24"/>
        </w:rPr>
        <w:t>Sealing must be justified for each individual item</w:t>
      </w:r>
      <w:r w:rsidRPr="000B0789">
        <w:rPr>
          <w:sz w:val="24"/>
          <w:szCs w:val="24"/>
        </w:rPr>
        <w:t>—</w:t>
      </w:r>
      <w:r w:rsidRPr="00D1201F">
        <w:rPr>
          <w:sz w:val="24"/>
          <w:szCs w:val="24"/>
        </w:rPr>
        <w:t xml:space="preserve">blanket claims of confidentiality will result in the application to seal being denied. </w:t>
      </w:r>
      <w:r w:rsidRPr="001E027C">
        <w:rPr>
          <w:sz w:val="24"/>
          <w:szCs w:val="24"/>
        </w:rPr>
        <w:t xml:space="preserve">Counsel </w:t>
      </w:r>
      <w:r w:rsidR="006105F6" w:rsidRPr="001E027C">
        <w:rPr>
          <w:sz w:val="24"/>
          <w:szCs w:val="24"/>
        </w:rPr>
        <w:t>must</w:t>
      </w:r>
      <w:r w:rsidRPr="00D1201F">
        <w:rPr>
          <w:sz w:val="24"/>
          <w:szCs w:val="24"/>
        </w:rPr>
        <w:t xml:space="preserve"> consider carefully whether sealing or redaction is absolutely required for a given piece of evidence or argument. An application to seal that includes meritless requests to seal or redact documents will be denied. The parties also must meet and confer before filing an application to seal.  </w:t>
      </w:r>
    </w:p>
    <w:p w14:paraId="7873EBC7" w14:textId="700A800E" w:rsidR="00566FAA" w:rsidRDefault="00566FAA" w:rsidP="001E027C">
      <w:pPr>
        <w:ind w:firstLine="720"/>
        <w:rPr>
          <w:sz w:val="24"/>
          <w:szCs w:val="24"/>
        </w:rPr>
      </w:pPr>
      <w:r w:rsidRPr="00566FAA">
        <w:rPr>
          <w:sz w:val="24"/>
          <w:szCs w:val="24"/>
        </w:rPr>
        <w:t xml:space="preserve">An application to seal that includes meritless requests to seal or redact documents will be denied. If a party files an application to seal that includes meritless requests to seal or redact documents, the party bears the risk that the Court will simply deny the request in its entirety and place all documents </w:t>
      </w:r>
      <w:proofErr w:type="gramStart"/>
      <w:r w:rsidRPr="00566FAA">
        <w:rPr>
          <w:sz w:val="24"/>
          <w:szCs w:val="24"/>
        </w:rPr>
        <w:t>sought</w:t>
      </w:r>
      <w:proofErr w:type="gramEnd"/>
      <w:r w:rsidRPr="00566FAA">
        <w:rPr>
          <w:sz w:val="24"/>
          <w:szCs w:val="24"/>
        </w:rPr>
        <w:t xml:space="preserve"> to be sealed on the public docket. The parties also must meet and confer before filing an application to seal.</w:t>
      </w:r>
    </w:p>
    <w:p w14:paraId="06AAFB33" w14:textId="77777777" w:rsidR="006519D1" w:rsidRPr="00D1201F" w:rsidRDefault="006519D1" w:rsidP="006519D1">
      <w:pPr>
        <w:numPr>
          <w:ilvl w:val="0"/>
          <w:numId w:val="26"/>
        </w:numPr>
        <w:rPr>
          <w:b/>
          <w:bCs/>
          <w:sz w:val="24"/>
          <w:szCs w:val="24"/>
          <w:u w:val="single"/>
        </w:rPr>
      </w:pPr>
      <w:r w:rsidRPr="00D1201F">
        <w:rPr>
          <w:b/>
          <w:bCs/>
          <w:sz w:val="24"/>
          <w:szCs w:val="24"/>
          <w:u w:val="single"/>
        </w:rPr>
        <w:t>Proposed Orders</w:t>
      </w:r>
    </w:p>
    <w:p w14:paraId="68739084" w14:textId="43047E7C" w:rsidR="006519D1" w:rsidRPr="00D1201F" w:rsidRDefault="006519D1" w:rsidP="001E027C">
      <w:pPr>
        <w:ind w:firstLine="720"/>
        <w:rPr>
          <w:sz w:val="24"/>
          <w:szCs w:val="24"/>
        </w:rPr>
      </w:pPr>
      <w:r w:rsidRPr="37188E7A">
        <w:rPr>
          <w:sz w:val="24"/>
          <w:szCs w:val="24"/>
        </w:rPr>
        <w:t xml:space="preserve">Each party filing or opposing a motion or seeking the determination of any matter shall serve and electronically lodge a proposed order setting forth the relief or action sought and a brief statement of the rationale for the decision with appropriate citations. In addition, a copy of the proposed order in </w:t>
      </w:r>
      <w:r w:rsidR="00CE6BDC">
        <w:rPr>
          <w:sz w:val="24"/>
          <w:szCs w:val="24"/>
        </w:rPr>
        <w:t xml:space="preserve">Microsoft </w:t>
      </w:r>
      <w:r w:rsidRPr="37188E7A">
        <w:rPr>
          <w:sz w:val="24"/>
          <w:szCs w:val="24"/>
        </w:rPr>
        <w:t xml:space="preserve">Word format shall be emailed directly to the Court’s chambers email address at MEMF_Chambers@cacd.uscourts.gov on the day the document is </w:t>
      </w:r>
      <w:r w:rsidR="00404CDD" w:rsidRPr="37188E7A">
        <w:rPr>
          <w:sz w:val="24"/>
          <w:szCs w:val="24"/>
        </w:rPr>
        <w:t>electronically filed</w:t>
      </w:r>
      <w:r w:rsidRPr="37188E7A">
        <w:rPr>
          <w:sz w:val="24"/>
          <w:szCs w:val="24"/>
        </w:rPr>
        <w:t xml:space="preserve">. </w:t>
      </w:r>
      <w:r w:rsidR="00D10A85" w:rsidRPr="37188E7A">
        <w:rPr>
          <w:sz w:val="24"/>
          <w:szCs w:val="24"/>
        </w:rPr>
        <w:t>All emails to chambers should include the case name and number in the subject line</w:t>
      </w:r>
      <w:r w:rsidR="125F4E27" w:rsidRPr="37188E7A">
        <w:rPr>
          <w:sz w:val="24"/>
          <w:szCs w:val="24"/>
        </w:rPr>
        <w:t xml:space="preserve"> [before anything else]</w:t>
      </w:r>
      <w:r w:rsidR="00D10A85" w:rsidRPr="37188E7A">
        <w:rPr>
          <w:sz w:val="24"/>
          <w:szCs w:val="24"/>
        </w:rPr>
        <w:t>.</w:t>
      </w:r>
    </w:p>
    <w:p w14:paraId="347C129D" w14:textId="39A022A7" w:rsidR="006519D1" w:rsidRDefault="006519D1" w:rsidP="001E027C">
      <w:pPr>
        <w:ind w:firstLine="720"/>
        <w:rPr>
          <w:b/>
          <w:bCs/>
          <w:sz w:val="24"/>
          <w:szCs w:val="24"/>
        </w:rPr>
      </w:pPr>
      <w:r w:rsidRPr="00D1201F">
        <w:rPr>
          <w:sz w:val="24"/>
          <w:szCs w:val="24"/>
        </w:rPr>
        <w:t xml:space="preserve">A </w:t>
      </w:r>
      <w:r w:rsidR="008E1B7B">
        <w:rPr>
          <w:sz w:val="24"/>
          <w:szCs w:val="24"/>
        </w:rPr>
        <w:t>proposed order template</w:t>
      </w:r>
      <w:r w:rsidRPr="00D1201F">
        <w:rPr>
          <w:sz w:val="24"/>
          <w:szCs w:val="24"/>
        </w:rPr>
        <w:t xml:space="preserve"> is available on</w:t>
      </w:r>
      <w:r w:rsidR="008E1B7B">
        <w:rPr>
          <w:sz w:val="24"/>
          <w:szCs w:val="24"/>
        </w:rPr>
        <w:t xml:space="preserve"> the bottom of</w:t>
      </w:r>
      <w:r w:rsidRPr="00D1201F">
        <w:rPr>
          <w:sz w:val="24"/>
          <w:szCs w:val="24"/>
        </w:rPr>
        <w:t xml:space="preserve"> Judge Frimpong’s webpage.</w:t>
      </w:r>
      <w:r>
        <w:rPr>
          <w:rStyle w:val="FootnoteReference"/>
          <w:sz w:val="24"/>
          <w:szCs w:val="24"/>
        </w:rPr>
        <w:footnoteReference w:id="8"/>
      </w:r>
      <w:r w:rsidRPr="00D1201F">
        <w:rPr>
          <w:sz w:val="24"/>
          <w:szCs w:val="24"/>
        </w:rPr>
        <w:t xml:space="preserve"> The parties </w:t>
      </w:r>
      <w:r w:rsidRPr="00D95D59">
        <w:rPr>
          <w:b/>
          <w:bCs/>
          <w:sz w:val="24"/>
          <w:szCs w:val="24"/>
        </w:rPr>
        <w:t>must</w:t>
      </w:r>
      <w:r w:rsidRPr="00D1201F">
        <w:rPr>
          <w:sz w:val="24"/>
          <w:szCs w:val="24"/>
        </w:rPr>
        <w:t xml:space="preserve"> use this template. Failure to submit a proposed order in Word format may result in the </w:t>
      </w:r>
      <w:r>
        <w:rPr>
          <w:sz w:val="24"/>
          <w:szCs w:val="24"/>
        </w:rPr>
        <w:lastRenderedPageBreak/>
        <w:t>C</w:t>
      </w:r>
      <w:r w:rsidRPr="00D1201F">
        <w:rPr>
          <w:sz w:val="24"/>
          <w:szCs w:val="24"/>
        </w:rPr>
        <w:t>ourt striking the motion, application, or stipulation without consideration of the request on its merits.</w:t>
      </w:r>
      <w:r w:rsidRPr="00D1201F">
        <w:rPr>
          <w:b/>
          <w:bCs/>
          <w:sz w:val="24"/>
          <w:szCs w:val="24"/>
        </w:rPr>
        <w:t xml:space="preserve">  </w:t>
      </w:r>
    </w:p>
    <w:p w14:paraId="16E2D1C7" w14:textId="77777777" w:rsidR="006519D1" w:rsidRPr="00D1201F" w:rsidRDefault="006519D1" w:rsidP="006519D1">
      <w:pPr>
        <w:numPr>
          <w:ilvl w:val="0"/>
          <w:numId w:val="26"/>
        </w:numPr>
        <w:rPr>
          <w:b/>
          <w:bCs/>
          <w:sz w:val="24"/>
          <w:szCs w:val="24"/>
          <w:u w:val="single"/>
        </w:rPr>
      </w:pPr>
      <w:r w:rsidRPr="00D1201F">
        <w:rPr>
          <w:b/>
          <w:bCs/>
          <w:sz w:val="24"/>
          <w:szCs w:val="24"/>
          <w:u w:val="single"/>
        </w:rPr>
        <w:t>Chambers Courtesy Copies</w:t>
      </w:r>
    </w:p>
    <w:p w14:paraId="4CC5D795" w14:textId="47545BF0" w:rsidR="0063005D" w:rsidRPr="00D1201F" w:rsidRDefault="006519D1" w:rsidP="000E5F41">
      <w:pPr>
        <w:ind w:firstLine="720"/>
        <w:rPr>
          <w:sz w:val="24"/>
          <w:szCs w:val="24"/>
        </w:rPr>
      </w:pPr>
      <w:bookmarkStart w:id="0" w:name="_Hlk96424821"/>
      <w:r w:rsidRPr="00D1201F">
        <w:rPr>
          <w:sz w:val="24"/>
          <w:szCs w:val="24"/>
        </w:rPr>
        <w:t xml:space="preserve">The </w:t>
      </w:r>
      <w:r>
        <w:rPr>
          <w:sz w:val="24"/>
          <w:szCs w:val="24"/>
        </w:rPr>
        <w:t>C</w:t>
      </w:r>
      <w:r w:rsidRPr="00D1201F">
        <w:rPr>
          <w:sz w:val="24"/>
          <w:szCs w:val="24"/>
        </w:rPr>
        <w:t xml:space="preserve">ourt does not require chambers copies of any motion papers or exhibits and discourages the parties from sending </w:t>
      </w:r>
      <w:r w:rsidR="002543C7">
        <w:rPr>
          <w:sz w:val="24"/>
          <w:szCs w:val="24"/>
        </w:rPr>
        <w:t xml:space="preserve">chambers </w:t>
      </w:r>
      <w:r w:rsidRPr="00D1201F">
        <w:rPr>
          <w:sz w:val="24"/>
          <w:szCs w:val="24"/>
        </w:rPr>
        <w:t>courtesy copies</w:t>
      </w:r>
      <w:r>
        <w:rPr>
          <w:sz w:val="24"/>
          <w:szCs w:val="24"/>
        </w:rPr>
        <w:t xml:space="preserve">, </w:t>
      </w:r>
      <w:proofErr w:type="gramStart"/>
      <w:r>
        <w:rPr>
          <w:sz w:val="24"/>
          <w:szCs w:val="24"/>
        </w:rPr>
        <w:t>with the exception of</w:t>
      </w:r>
      <w:proofErr w:type="gramEnd"/>
      <w:r w:rsidR="002543C7">
        <w:rPr>
          <w:sz w:val="24"/>
          <w:szCs w:val="24"/>
        </w:rPr>
        <w:t xml:space="preserve"> documents related to</w:t>
      </w:r>
      <w:r>
        <w:rPr>
          <w:sz w:val="24"/>
          <w:szCs w:val="24"/>
        </w:rPr>
        <w:t xml:space="preserve"> motions for summary judgment (</w:t>
      </w:r>
      <w:r>
        <w:rPr>
          <w:i/>
          <w:iCs/>
          <w:sz w:val="24"/>
          <w:szCs w:val="24"/>
        </w:rPr>
        <w:t>see</w:t>
      </w:r>
      <w:r>
        <w:rPr>
          <w:sz w:val="24"/>
          <w:szCs w:val="24"/>
        </w:rPr>
        <w:t xml:space="preserve"> </w:t>
      </w:r>
      <w:proofErr w:type="gramStart"/>
      <w:r>
        <w:rPr>
          <w:i/>
          <w:iCs/>
          <w:sz w:val="24"/>
          <w:szCs w:val="24"/>
        </w:rPr>
        <w:t xml:space="preserve">supra </w:t>
      </w:r>
      <w:r>
        <w:rPr>
          <w:sz w:val="24"/>
          <w:szCs w:val="24"/>
        </w:rPr>
        <w:t xml:space="preserve">Section </w:t>
      </w:r>
      <w:r w:rsidR="00E8265D">
        <w:rPr>
          <w:sz w:val="24"/>
          <w:szCs w:val="24"/>
        </w:rPr>
        <w:t>IX</w:t>
      </w:r>
      <w:proofErr w:type="gramEnd"/>
      <w:r>
        <w:rPr>
          <w:sz w:val="24"/>
          <w:szCs w:val="24"/>
        </w:rPr>
        <w:t>.</w:t>
      </w:r>
      <w:r w:rsidR="00E8265D">
        <w:rPr>
          <w:sz w:val="24"/>
          <w:szCs w:val="24"/>
        </w:rPr>
        <w:t>D</w:t>
      </w:r>
      <w:r>
        <w:rPr>
          <w:sz w:val="24"/>
          <w:szCs w:val="24"/>
        </w:rPr>
        <w:t>)</w:t>
      </w:r>
      <w:r w:rsidR="00947CCA">
        <w:rPr>
          <w:sz w:val="24"/>
          <w:szCs w:val="24"/>
        </w:rPr>
        <w:t>.</w:t>
      </w:r>
      <w:r w:rsidR="00CB44F7">
        <w:rPr>
          <w:sz w:val="24"/>
          <w:szCs w:val="24"/>
        </w:rPr>
        <w:t xml:space="preserve"> </w:t>
      </w:r>
      <w:r w:rsidR="000E5F41">
        <w:rPr>
          <w:sz w:val="24"/>
          <w:szCs w:val="24"/>
        </w:rPr>
        <w:t xml:space="preserve">The Court only requires one courtesy copy of motions for summary judgment and prefers binders with exhibit tabs for larger filings. </w:t>
      </w:r>
      <w:r w:rsidR="00CB44F7">
        <w:rPr>
          <w:sz w:val="24"/>
          <w:szCs w:val="24"/>
        </w:rPr>
        <w:t xml:space="preserve">Parties are required to submit </w:t>
      </w:r>
      <w:r w:rsidR="0063005D">
        <w:rPr>
          <w:sz w:val="24"/>
          <w:szCs w:val="24"/>
        </w:rPr>
        <w:t xml:space="preserve">any Statements of Uncontroverted Facts and Genuine Disputes in Excel, </w:t>
      </w:r>
      <w:r w:rsidR="0063005D" w:rsidRPr="00D1201F">
        <w:rPr>
          <w:sz w:val="24"/>
          <w:szCs w:val="24"/>
        </w:rPr>
        <w:t>have all restrictions removed so the spreadsheet</w:t>
      </w:r>
      <w:r w:rsidR="0063005D">
        <w:rPr>
          <w:sz w:val="24"/>
          <w:szCs w:val="24"/>
        </w:rPr>
        <w:t>s</w:t>
      </w:r>
      <w:r w:rsidR="0063005D" w:rsidRPr="00D1201F">
        <w:rPr>
          <w:sz w:val="24"/>
          <w:szCs w:val="24"/>
        </w:rPr>
        <w:t xml:space="preserve"> can be edited</w:t>
      </w:r>
      <w:r w:rsidR="0063005D">
        <w:rPr>
          <w:sz w:val="24"/>
          <w:szCs w:val="24"/>
        </w:rPr>
        <w:t>, and</w:t>
      </w:r>
      <w:r w:rsidR="0063005D" w:rsidRPr="00D1201F">
        <w:rPr>
          <w:sz w:val="24"/>
          <w:szCs w:val="24"/>
        </w:rPr>
        <w:t xml:space="preserve"> </w:t>
      </w:r>
      <w:r w:rsidR="0063005D">
        <w:rPr>
          <w:sz w:val="24"/>
          <w:szCs w:val="24"/>
        </w:rPr>
        <w:t xml:space="preserve">be </w:t>
      </w:r>
      <w:r w:rsidR="0063005D" w:rsidRPr="00D1201F">
        <w:rPr>
          <w:sz w:val="24"/>
          <w:szCs w:val="24"/>
        </w:rPr>
        <w:t xml:space="preserve">emailed to the </w:t>
      </w:r>
      <w:r w:rsidR="0063005D">
        <w:rPr>
          <w:sz w:val="24"/>
          <w:szCs w:val="24"/>
        </w:rPr>
        <w:t>C</w:t>
      </w:r>
      <w:r w:rsidR="0063005D" w:rsidRPr="00D1201F">
        <w:rPr>
          <w:sz w:val="24"/>
          <w:szCs w:val="24"/>
        </w:rPr>
        <w:t xml:space="preserve">ourt’s chambers email address at </w:t>
      </w:r>
      <w:r w:rsidR="0063005D" w:rsidRPr="006519D1">
        <w:rPr>
          <w:sz w:val="24"/>
          <w:szCs w:val="24"/>
        </w:rPr>
        <w:t>MEMF_Chambers@cacd.uscourts.gov</w:t>
      </w:r>
      <w:r w:rsidR="0063005D" w:rsidRPr="00D1201F">
        <w:rPr>
          <w:sz w:val="24"/>
          <w:szCs w:val="24"/>
        </w:rPr>
        <w:t xml:space="preserve">.  </w:t>
      </w:r>
    </w:p>
    <w:p w14:paraId="16967060" w14:textId="101961A3" w:rsidR="006519D1" w:rsidRPr="00D1201F" w:rsidRDefault="00947CCA" w:rsidP="001E027C">
      <w:pPr>
        <w:ind w:firstLine="720"/>
        <w:rPr>
          <w:sz w:val="24"/>
          <w:szCs w:val="24"/>
        </w:rPr>
      </w:pPr>
      <w:r>
        <w:rPr>
          <w:sz w:val="24"/>
          <w:szCs w:val="24"/>
        </w:rPr>
        <w:t xml:space="preserve"> </w:t>
      </w:r>
      <w:r w:rsidR="002543C7">
        <w:rPr>
          <w:sz w:val="24"/>
          <w:szCs w:val="24"/>
        </w:rPr>
        <w:t>Excel files prepared in support of motions for attorneys’ fees</w:t>
      </w:r>
      <w:r>
        <w:rPr>
          <w:sz w:val="24"/>
          <w:szCs w:val="24"/>
        </w:rPr>
        <w:t xml:space="preserve"> </w:t>
      </w:r>
      <w:r w:rsidR="000428B8">
        <w:rPr>
          <w:sz w:val="24"/>
          <w:szCs w:val="24"/>
        </w:rPr>
        <w:t>(</w:t>
      </w:r>
      <w:r w:rsidR="000428B8">
        <w:rPr>
          <w:i/>
          <w:iCs/>
          <w:sz w:val="24"/>
          <w:szCs w:val="24"/>
        </w:rPr>
        <w:t>see</w:t>
      </w:r>
      <w:r w:rsidR="000428B8">
        <w:rPr>
          <w:sz w:val="24"/>
          <w:szCs w:val="24"/>
        </w:rPr>
        <w:t xml:space="preserve"> </w:t>
      </w:r>
      <w:proofErr w:type="gramStart"/>
      <w:r w:rsidR="000428B8">
        <w:rPr>
          <w:i/>
          <w:iCs/>
          <w:sz w:val="24"/>
          <w:szCs w:val="24"/>
        </w:rPr>
        <w:t xml:space="preserve">supra </w:t>
      </w:r>
      <w:r w:rsidR="000428B8">
        <w:rPr>
          <w:sz w:val="24"/>
          <w:szCs w:val="24"/>
        </w:rPr>
        <w:t>Section</w:t>
      </w:r>
      <w:r w:rsidR="006F1165">
        <w:rPr>
          <w:sz w:val="24"/>
          <w:szCs w:val="24"/>
        </w:rPr>
        <w:t xml:space="preserve"> IX</w:t>
      </w:r>
      <w:proofErr w:type="gramEnd"/>
      <w:r w:rsidR="006F1165">
        <w:rPr>
          <w:sz w:val="24"/>
          <w:szCs w:val="24"/>
        </w:rPr>
        <w:t>.E</w:t>
      </w:r>
      <w:r w:rsidR="000428B8">
        <w:rPr>
          <w:sz w:val="24"/>
          <w:szCs w:val="24"/>
        </w:rPr>
        <w:t xml:space="preserve">) </w:t>
      </w:r>
      <w:r>
        <w:rPr>
          <w:sz w:val="24"/>
          <w:szCs w:val="24"/>
        </w:rPr>
        <w:t xml:space="preserve">and proposed orders in </w:t>
      </w:r>
      <w:r w:rsidR="00CE6BDC">
        <w:rPr>
          <w:sz w:val="24"/>
          <w:szCs w:val="24"/>
        </w:rPr>
        <w:t xml:space="preserve">Microsoft </w:t>
      </w:r>
      <w:r>
        <w:rPr>
          <w:sz w:val="24"/>
          <w:szCs w:val="24"/>
        </w:rPr>
        <w:t xml:space="preserve">Word format </w:t>
      </w:r>
      <w:r w:rsidR="000428B8">
        <w:rPr>
          <w:sz w:val="24"/>
          <w:szCs w:val="24"/>
        </w:rPr>
        <w:t>(</w:t>
      </w:r>
      <w:r w:rsidR="000428B8">
        <w:rPr>
          <w:i/>
          <w:iCs/>
          <w:sz w:val="24"/>
          <w:szCs w:val="24"/>
        </w:rPr>
        <w:t>see</w:t>
      </w:r>
      <w:r w:rsidR="000428B8">
        <w:rPr>
          <w:sz w:val="24"/>
          <w:szCs w:val="24"/>
        </w:rPr>
        <w:t xml:space="preserve"> </w:t>
      </w:r>
      <w:proofErr w:type="gramStart"/>
      <w:r w:rsidR="000428B8">
        <w:rPr>
          <w:i/>
          <w:iCs/>
          <w:sz w:val="24"/>
          <w:szCs w:val="24"/>
        </w:rPr>
        <w:t xml:space="preserve">supra </w:t>
      </w:r>
      <w:r w:rsidR="000428B8">
        <w:rPr>
          <w:sz w:val="24"/>
          <w:szCs w:val="24"/>
        </w:rPr>
        <w:t>Section IX</w:t>
      </w:r>
      <w:proofErr w:type="gramEnd"/>
      <w:r w:rsidR="000428B8">
        <w:rPr>
          <w:sz w:val="24"/>
          <w:szCs w:val="24"/>
        </w:rPr>
        <w:t xml:space="preserve">) </w:t>
      </w:r>
      <w:r>
        <w:rPr>
          <w:sz w:val="24"/>
          <w:szCs w:val="24"/>
        </w:rPr>
        <w:t xml:space="preserve">should be submitted to the Court’s chambers email address at </w:t>
      </w:r>
      <w:r w:rsidR="007C5A10" w:rsidRPr="00B852E9">
        <w:rPr>
          <w:sz w:val="24"/>
          <w:szCs w:val="24"/>
        </w:rPr>
        <w:t>MEMF_Chambers@cacd.uscourts.gov</w:t>
      </w:r>
      <w:r>
        <w:rPr>
          <w:sz w:val="24"/>
          <w:szCs w:val="24"/>
        </w:rPr>
        <w:t>.</w:t>
      </w:r>
      <w:r w:rsidR="007C5A10">
        <w:rPr>
          <w:sz w:val="24"/>
          <w:szCs w:val="24"/>
        </w:rPr>
        <w:t xml:space="preserve"> </w:t>
      </w:r>
    </w:p>
    <w:bookmarkEnd w:id="0"/>
    <w:p w14:paraId="2461C561" w14:textId="77777777" w:rsidR="006519D1" w:rsidRPr="00D1201F" w:rsidRDefault="006519D1" w:rsidP="006519D1">
      <w:pPr>
        <w:numPr>
          <w:ilvl w:val="0"/>
          <w:numId w:val="26"/>
        </w:numPr>
        <w:rPr>
          <w:b/>
          <w:bCs/>
          <w:sz w:val="24"/>
          <w:szCs w:val="24"/>
          <w:u w:val="single"/>
        </w:rPr>
      </w:pPr>
      <w:r w:rsidRPr="00D1201F">
        <w:rPr>
          <w:b/>
          <w:bCs/>
          <w:sz w:val="24"/>
          <w:szCs w:val="24"/>
          <w:u w:val="single"/>
        </w:rPr>
        <w:t xml:space="preserve">Ex </w:t>
      </w:r>
      <w:proofErr w:type="spellStart"/>
      <w:r w:rsidRPr="00D1201F">
        <w:rPr>
          <w:b/>
          <w:bCs/>
          <w:sz w:val="24"/>
          <w:szCs w:val="24"/>
          <w:u w:val="single"/>
        </w:rPr>
        <w:t>Parte</w:t>
      </w:r>
      <w:proofErr w:type="spellEnd"/>
      <w:r w:rsidRPr="00D1201F">
        <w:rPr>
          <w:b/>
          <w:bCs/>
          <w:sz w:val="24"/>
          <w:szCs w:val="24"/>
          <w:u w:val="single"/>
        </w:rPr>
        <w:t xml:space="preserve"> Applications</w:t>
      </w:r>
    </w:p>
    <w:p w14:paraId="580077DD" w14:textId="1F05BCC1" w:rsidR="005F7F27" w:rsidRDefault="006519D1" w:rsidP="001E027C">
      <w:pPr>
        <w:ind w:firstLine="720"/>
        <w:rPr>
          <w:sz w:val="24"/>
          <w:szCs w:val="24"/>
        </w:rPr>
      </w:pPr>
      <w:r w:rsidRPr="00D1201F">
        <w:rPr>
          <w:sz w:val="24"/>
          <w:szCs w:val="24"/>
        </w:rPr>
        <w:t xml:space="preserve">Counsel are reminded </w:t>
      </w:r>
      <w:r>
        <w:rPr>
          <w:sz w:val="24"/>
          <w:szCs w:val="24"/>
        </w:rPr>
        <w:t xml:space="preserve">that </w:t>
      </w:r>
      <w:r w:rsidRPr="00D1201F">
        <w:rPr>
          <w:sz w:val="24"/>
          <w:szCs w:val="24"/>
        </w:rPr>
        <w:t xml:space="preserve">ex </w:t>
      </w:r>
      <w:proofErr w:type="spellStart"/>
      <w:r w:rsidRPr="00D1201F">
        <w:rPr>
          <w:sz w:val="24"/>
          <w:szCs w:val="24"/>
        </w:rPr>
        <w:t>parte</w:t>
      </w:r>
      <w:proofErr w:type="spellEnd"/>
      <w:r w:rsidRPr="00D1201F">
        <w:rPr>
          <w:sz w:val="24"/>
          <w:szCs w:val="24"/>
        </w:rPr>
        <w:t xml:space="preserve"> applications are solely for extraordinary relief. Applications that do not meet the requirements set forth in Local Rule 7-19 will not be considered. Sanctions may be imposed for misuse of </w:t>
      </w:r>
      <w:proofErr w:type="gramStart"/>
      <w:r w:rsidRPr="00D1201F">
        <w:rPr>
          <w:sz w:val="24"/>
          <w:szCs w:val="24"/>
        </w:rPr>
        <w:t xml:space="preserve">ex </w:t>
      </w:r>
      <w:proofErr w:type="spellStart"/>
      <w:r w:rsidRPr="00D1201F">
        <w:rPr>
          <w:sz w:val="24"/>
          <w:szCs w:val="24"/>
        </w:rPr>
        <w:t>parte</w:t>
      </w:r>
      <w:proofErr w:type="spellEnd"/>
      <w:proofErr w:type="gramEnd"/>
      <w:r w:rsidRPr="00D1201F">
        <w:rPr>
          <w:sz w:val="24"/>
          <w:szCs w:val="24"/>
        </w:rPr>
        <w:t xml:space="preserve"> applications. </w:t>
      </w:r>
      <w:r w:rsidR="00F979E6">
        <w:rPr>
          <w:sz w:val="24"/>
          <w:szCs w:val="24"/>
        </w:rPr>
        <w:t>The parties may request a hearing along with a hearing date in the briefing</w:t>
      </w:r>
      <w:r w:rsidR="00396C3B">
        <w:rPr>
          <w:sz w:val="24"/>
          <w:szCs w:val="24"/>
        </w:rPr>
        <w:t>. H</w:t>
      </w:r>
      <w:r w:rsidR="00F979E6">
        <w:rPr>
          <w:sz w:val="24"/>
          <w:szCs w:val="24"/>
        </w:rPr>
        <w:t xml:space="preserve">owever, </w:t>
      </w:r>
      <w:r w:rsidR="00396C3B">
        <w:rPr>
          <w:sz w:val="24"/>
          <w:szCs w:val="24"/>
        </w:rPr>
        <w:t xml:space="preserve">by default there will be no hearings on ex </w:t>
      </w:r>
      <w:proofErr w:type="spellStart"/>
      <w:r w:rsidR="00396C3B">
        <w:rPr>
          <w:sz w:val="24"/>
          <w:szCs w:val="24"/>
        </w:rPr>
        <w:t>parte</w:t>
      </w:r>
      <w:proofErr w:type="spellEnd"/>
      <w:r w:rsidR="00396C3B">
        <w:rPr>
          <w:sz w:val="24"/>
          <w:szCs w:val="24"/>
        </w:rPr>
        <w:t xml:space="preserve"> applications unless the Court sets one. </w:t>
      </w:r>
    </w:p>
    <w:p w14:paraId="3B9C5AF6" w14:textId="77777777" w:rsidR="006519D1" w:rsidRPr="00D1201F" w:rsidRDefault="006519D1" w:rsidP="006519D1">
      <w:pPr>
        <w:numPr>
          <w:ilvl w:val="0"/>
          <w:numId w:val="26"/>
        </w:numPr>
        <w:rPr>
          <w:b/>
          <w:bCs/>
          <w:sz w:val="24"/>
          <w:szCs w:val="24"/>
          <w:u w:val="single"/>
        </w:rPr>
      </w:pPr>
      <w:r w:rsidRPr="00D1201F">
        <w:rPr>
          <w:b/>
          <w:bCs/>
          <w:sz w:val="24"/>
          <w:szCs w:val="24"/>
          <w:u w:val="single"/>
        </w:rPr>
        <w:t>Continuances</w:t>
      </w:r>
    </w:p>
    <w:p w14:paraId="0C9DF992" w14:textId="44D09EA6" w:rsidR="00FA3521" w:rsidRDefault="006519D1" w:rsidP="001E027C">
      <w:pPr>
        <w:ind w:firstLine="720"/>
        <w:rPr>
          <w:sz w:val="24"/>
          <w:szCs w:val="24"/>
        </w:rPr>
      </w:pPr>
      <w:r w:rsidRPr="00D1201F">
        <w:rPr>
          <w:sz w:val="24"/>
          <w:szCs w:val="24"/>
        </w:rPr>
        <w:t xml:space="preserve">Counsel requesting a continuance must lodge, prior to the date to be continued, a </w:t>
      </w:r>
      <w:r>
        <w:rPr>
          <w:sz w:val="24"/>
          <w:szCs w:val="24"/>
        </w:rPr>
        <w:t>proposed stipulation and order</w:t>
      </w:r>
      <w:r w:rsidRPr="00D1201F">
        <w:rPr>
          <w:sz w:val="24"/>
          <w:szCs w:val="24"/>
        </w:rPr>
        <w:t xml:space="preserve"> including a detailed declaration of the grounds for the requested continuance or extension of time. The Court grants continuances only upon a showing of good cause, focusing on the diligence of the party seeking the continuance and any prejudice that may result if the continuance is denied. </w:t>
      </w:r>
      <w:r>
        <w:rPr>
          <w:sz w:val="24"/>
          <w:szCs w:val="24"/>
        </w:rPr>
        <w:t xml:space="preserve">Counsel </w:t>
      </w:r>
      <w:r w:rsidR="00424BCD">
        <w:rPr>
          <w:sz w:val="24"/>
          <w:szCs w:val="24"/>
        </w:rPr>
        <w:t>are</w:t>
      </w:r>
      <w:r>
        <w:rPr>
          <w:sz w:val="24"/>
          <w:szCs w:val="24"/>
        </w:rPr>
        <w:t xml:space="preserve"> required to first meet and confer with opposing counsel regarding the substance of the continuance and include a statement of compliance with Local Rule 7-3 (</w:t>
      </w:r>
      <w:r>
        <w:rPr>
          <w:i/>
          <w:iCs/>
          <w:sz w:val="24"/>
          <w:szCs w:val="24"/>
        </w:rPr>
        <w:t>see</w:t>
      </w:r>
      <w:r>
        <w:rPr>
          <w:sz w:val="24"/>
          <w:szCs w:val="24"/>
        </w:rPr>
        <w:t xml:space="preserve"> </w:t>
      </w:r>
      <w:proofErr w:type="gramStart"/>
      <w:r>
        <w:rPr>
          <w:i/>
          <w:iCs/>
          <w:sz w:val="24"/>
          <w:szCs w:val="24"/>
        </w:rPr>
        <w:t xml:space="preserve">supra </w:t>
      </w:r>
      <w:r>
        <w:rPr>
          <w:sz w:val="24"/>
          <w:szCs w:val="24"/>
        </w:rPr>
        <w:t>Section VII</w:t>
      </w:r>
      <w:proofErr w:type="gramEnd"/>
      <w:r>
        <w:rPr>
          <w:sz w:val="24"/>
          <w:szCs w:val="24"/>
        </w:rPr>
        <w:t>.</w:t>
      </w:r>
      <w:r w:rsidR="000428B8">
        <w:rPr>
          <w:sz w:val="24"/>
          <w:szCs w:val="24"/>
        </w:rPr>
        <w:t>A</w:t>
      </w:r>
      <w:r>
        <w:rPr>
          <w:sz w:val="24"/>
          <w:szCs w:val="24"/>
        </w:rPr>
        <w:t>).</w:t>
      </w:r>
      <w:r w:rsidRPr="00D1201F">
        <w:rPr>
          <w:sz w:val="24"/>
          <w:szCs w:val="24"/>
        </w:rPr>
        <w:t xml:space="preserve"> Failure </w:t>
      </w:r>
      <w:r w:rsidR="00483549">
        <w:rPr>
          <w:sz w:val="24"/>
          <w:szCs w:val="24"/>
        </w:rPr>
        <w:t xml:space="preserve">to </w:t>
      </w:r>
      <w:r>
        <w:rPr>
          <w:sz w:val="24"/>
          <w:szCs w:val="24"/>
        </w:rPr>
        <w:t>meet and confer in good faith in</w:t>
      </w:r>
      <w:r w:rsidRPr="00D1201F">
        <w:rPr>
          <w:sz w:val="24"/>
          <w:szCs w:val="24"/>
        </w:rPr>
        <w:t xml:space="preserve"> compl</w:t>
      </w:r>
      <w:r>
        <w:rPr>
          <w:sz w:val="24"/>
          <w:szCs w:val="24"/>
        </w:rPr>
        <w:t>iance</w:t>
      </w:r>
      <w:r w:rsidRPr="00D1201F">
        <w:rPr>
          <w:sz w:val="24"/>
          <w:szCs w:val="24"/>
        </w:rPr>
        <w:t xml:space="preserve"> with the Local Rules and this Order may result in denial of the request for continuance. </w:t>
      </w:r>
    </w:p>
    <w:p w14:paraId="47CB03FF" w14:textId="7C1CB3C6" w:rsidR="0033065E" w:rsidRDefault="0033065E" w:rsidP="006519D1">
      <w:pPr>
        <w:numPr>
          <w:ilvl w:val="0"/>
          <w:numId w:val="26"/>
        </w:numPr>
        <w:rPr>
          <w:b/>
          <w:bCs/>
          <w:sz w:val="24"/>
          <w:szCs w:val="24"/>
          <w:u w:val="single"/>
        </w:rPr>
      </w:pPr>
      <w:r>
        <w:rPr>
          <w:b/>
          <w:bCs/>
          <w:sz w:val="24"/>
          <w:szCs w:val="24"/>
          <w:u w:val="single"/>
        </w:rPr>
        <w:lastRenderedPageBreak/>
        <w:t>Electronic Filings</w:t>
      </w:r>
    </w:p>
    <w:p w14:paraId="54DE33EE" w14:textId="37E1C60E" w:rsidR="008D52B4" w:rsidRPr="00D261BA" w:rsidRDefault="0033065E" w:rsidP="001E027C">
      <w:pPr>
        <w:ind w:firstLine="720"/>
        <w:rPr>
          <w:sz w:val="24"/>
          <w:szCs w:val="24"/>
        </w:rPr>
      </w:pPr>
      <w:r w:rsidRPr="00D261BA">
        <w:rPr>
          <w:sz w:val="24"/>
          <w:szCs w:val="24"/>
        </w:rPr>
        <w:t>Counsel shall e-file all filings pursuant to Federal Rules of Civil Procedure 5(d)(3)</w:t>
      </w:r>
      <w:r w:rsidR="00AC4C83" w:rsidRPr="00D261BA">
        <w:rPr>
          <w:sz w:val="24"/>
          <w:szCs w:val="24"/>
        </w:rPr>
        <w:t xml:space="preserve"> and Local Rule 5-4 as follows: </w:t>
      </w:r>
    </w:p>
    <w:p w14:paraId="4F0EE018" w14:textId="4EC81D1D" w:rsidR="0099513B" w:rsidRPr="00D261BA" w:rsidRDefault="00AC4C83" w:rsidP="00AA62A2">
      <w:pPr>
        <w:pStyle w:val="ListParagraph"/>
        <w:numPr>
          <w:ilvl w:val="0"/>
          <w:numId w:val="35"/>
        </w:numPr>
        <w:spacing w:before="240" w:after="240"/>
        <w:rPr>
          <w:sz w:val="24"/>
          <w:szCs w:val="24"/>
        </w:rPr>
      </w:pPr>
      <w:r w:rsidRPr="00D261BA">
        <w:rPr>
          <w:sz w:val="24"/>
          <w:szCs w:val="24"/>
        </w:rPr>
        <w:t xml:space="preserve">All non-signature items shall be </w:t>
      </w:r>
      <w:r w:rsidRPr="00D261BA">
        <w:rPr>
          <w:b/>
          <w:sz w:val="24"/>
          <w:szCs w:val="24"/>
        </w:rPr>
        <w:t>e-filed</w:t>
      </w:r>
      <w:r w:rsidRPr="00D261BA">
        <w:rPr>
          <w:sz w:val="24"/>
          <w:szCs w:val="24"/>
        </w:rPr>
        <w:t xml:space="preserve"> in </w:t>
      </w:r>
      <w:r w:rsidR="00A24E40" w:rsidRPr="00D261BA">
        <w:rPr>
          <w:b/>
          <w:sz w:val="24"/>
          <w:szCs w:val="24"/>
        </w:rPr>
        <w:t>PDF</w:t>
      </w:r>
      <w:r w:rsidR="00A24E40" w:rsidRPr="00D261BA">
        <w:rPr>
          <w:sz w:val="24"/>
          <w:szCs w:val="24"/>
        </w:rPr>
        <w:t xml:space="preserve"> format. All proposed signature items shall be </w:t>
      </w:r>
      <w:r w:rsidR="00A24E40" w:rsidRPr="00D261BA">
        <w:rPr>
          <w:b/>
          <w:sz w:val="24"/>
          <w:szCs w:val="24"/>
        </w:rPr>
        <w:t>e-filed</w:t>
      </w:r>
      <w:r w:rsidR="00A24E40" w:rsidRPr="00D261BA">
        <w:rPr>
          <w:sz w:val="24"/>
          <w:szCs w:val="24"/>
        </w:rPr>
        <w:t xml:space="preserve"> as an attachment to the main document in </w:t>
      </w:r>
      <w:r w:rsidR="00A24E40" w:rsidRPr="00D261BA">
        <w:rPr>
          <w:b/>
          <w:sz w:val="24"/>
          <w:szCs w:val="24"/>
        </w:rPr>
        <w:t>PDF format</w:t>
      </w:r>
      <w:r w:rsidR="00A24E40" w:rsidRPr="00D261BA">
        <w:rPr>
          <w:sz w:val="24"/>
          <w:szCs w:val="24"/>
        </w:rPr>
        <w:t xml:space="preserve">. </w:t>
      </w:r>
    </w:p>
    <w:p w14:paraId="21C74652" w14:textId="45F3344F" w:rsidR="008D52B4" w:rsidRPr="00D261BA" w:rsidRDefault="008D52B4" w:rsidP="00AA62A2">
      <w:pPr>
        <w:pStyle w:val="ListParagraph"/>
        <w:numPr>
          <w:ilvl w:val="0"/>
          <w:numId w:val="35"/>
        </w:numPr>
        <w:spacing w:before="240" w:after="240"/>
        <w:rPr>
          <w:sz w:val="24"/>
          <w:szCs w:val="24"/>
        </w:rPr>
      </w:pPr>
      <w:r w:rsidRPr="00D261BA">
        <w:rPr>
          <w:sz w:val="24"/>
          <w:szCs w:val="24"/>
        </w:rPr>
        <w:t xml:space="preserve">All proposed signature items shall be </w:t>
      </w:r>
      <w:r w:rsidRPr="00D261BA">
        <w:rPr>
          <w:b/>
          <w:sz w:val="24"/>
          <w:szCs w:val="24"/>
        </w:rPr>
        <w:t>emailed</w:t>
      </w:r>
      <w:r w:rsidRPr="00D261BA">
        <w:rPr>
          <w:sz w:val="24"/>
          <w:szCs w:val="24"/>
        </w:rPr>
        <w:t xml:space="preserve"> to the courtroom deputy email address at </w:t>
      </w:r>
      <w:r w:rsidR="00BA79ED" w:rsidRPr="001E027C">
        <w:rPr>
          <w:sz w:val="24"/>
          <w:szCs w:val="24"/>
        </w:rPr>
        <w:t>MEMF_Chambers@cacd.uscourts.gov</w:t>
      </w:r>
      <w:r w:rsidRPr="00D261BA">
        <w:rPr>
          <w:sz w:val="24"/>
          <w:szCs w:val="24"/>
        </w:rPr>
        <w:t xml:space="preserve"> in </w:t>
      </w:r>
      <w:r w:rsidR="00CE6BDC">
        <w:rPr>
          <w:b/>
          <w:bCs/>
          <w:sz w:val="24"/>
          <w:szCs w:val="24"/>
        </w:rPr>
        <w:t xml:space="preserve">Microsoft </w:t>
      </w:r>
      <w:r w:rsidRPr="00D261BA">
        <w:rPr>
          <w:b/>
          <w:sz w:val="24"/>
          <w:szCs w:val="24"/>
        </w:rPr>
        <w:t>Word</w:t>
      </w:r>
      <w:r w:rsidRPr="00D261BA">
        <w:rPr>
          <w:sz w:val="24"/>
          <w:szCs w:val="24"/>
        </w:rPr>
        <w:t xml:space="preserve"> format. </w:t>
      </w:r>
      <w:r w:rsidRPr="00D261BA">
        <w:rPr>
          <w:b/>
          <w:sz w:val="24"/>
          <w:szCs w:val="24"/>
        </w:rPr>
        <w:t>Only proposed order signature items should be emailed to the chambers’ email address.</w:t>
      </w:r>
      <w:r w:rsidRPr="00D261BA">
        <w:rPr>
          <w:sz w:val="24"/>
          <w:szCs w:val="24"/>
        </w:rPr>
        <w:t xml:space="preserve"> Do not email other associated documents and do not use this email address for communication with the Court or the Clerk.</w:t>
      </w:r>
    </w:p>
    <w:p w14:paraId="601CE931" w14:textId="3FCC6E8A" w:rsidR="00E65931" w:rsidRPr="00D261BA" w:rsidRDefault="00772995" w:rsidP="001E027C">
      <w:pPr>
        <w:ind w:firstLine="720"/>
        <w:rPr>
          <w:sz w:val="24"/>
          <w:szCs w:val="24"/>
        </w:rPr>
      </w:pPr>
      <w:r w:rsidRPr="00D261BA">
        <w:rPr>
          <w:b/>
          <w:sz w:val="24"/>
          <w:szCs w:val="24"/>
        </w:rPr>
        <w:t>Note for Parties Who Do Not Have an Attorney</w:t>
      </w:r>
      <w:r w:rsidRPr="00D261BA">
        <w:rPr>
          <w:sz w:val="24"/>
          <w:szCs w:val="24"/>
        </w:rPr>
        <w:t xml:space="preserve">: Pro se litigants—that is, </w:t>
      </w:r>
      <w:bookmarkStart w:id="1" w:name="_Hlk103081885"/>
      <w:r w:rsidRPr="00D261BA">
        <w:rPr>
          <w:sz w:val="24"/>
          <w:szCs w:val="24"/>
        </w:rPr>
        <w:t>parties who are not represented by an attorney</w:t>
      </w:r>
      <w:bookmarkEnd w:id="1"/>
      <w:r w:rsidRPr="00D261BA">
        <w:rPr>
          <w:sz w:val="24"/>
          <w:szCs w:val="24"/>
        </w:rPr>
        <w:t>—may submit documents for filing through the Court’s Electronic Document Submission System (</w:t>
      </w:r>
      <w:r w:rsidR="0013541E">
        <w:rPr>
          <w:sz w:val="24"/>
          <w:szCs w:val="24"/>
        </w:rPr>
        <w:t>“</w:t>
      </w:r>
      <w:r w:rsidRPr="00D261BA">
        <w:rPr>
          <w:sz w:val="24"/>
          <w:szCs w:val="24"/>
        </w:rPr>
        <w:t>EDSS</w:t>
      </w:r>
      <w:r w:rsidR="0013541E">
        <w:rPr>
          <w:sz w:val="24"/>
          <w:szCs w:val="24"/>
        </w:rPr>
        <w:t>”</w:t>
      </w:r>
      <w:r w:rsidRPr="00D261BA">
        <w:rPr>
          <w:sz w:val="24"/>
          <w:szCs w:val="24"/>
        </w:rPr>
        <w:t xml:space="preserve">) instead of mailing or bringing documents to the Clerk’s Office. </w:t>
      </w:r>
      <w:r w:rsidR="00C50DAC" w:rsidRPr="00D261BA">
        <w:rPr>
          <w:sz w:val="24"/>
          <w:szCs w:val="24"/>
        </w:rPr>
        <w:t xml:space="preserve">Only internet access and an email address are required. Documents </w:t>
      </w:r>
      <w:r w:rsidR="00256848" w:rsidRPr="00D261BA">
        <w:rPr>
          <w:sz w:val="24"/>
          <w:szCs w:val="24"/>
        </w:rPr>
        <w:t xml:space="preserve">are </w:t>
      </w:r>
      <w:r w:rsidR="00C50DAC" w:rsidRPr="00D261BA">
        <w:rPr>
          <w:sz w:val="24"/>
          <w:szCs w:val="24"/>
        </w:rPr>
        <w:t>submitted in PDF format through an online portal on the Court’s website</w:t>
      </w:r>
      <w:r w:rsidR="00256848" w:rsidRPr="00D261BA">
        <w:rPr>
          <w:sz w:val="24"/>
          <w:szCs w:val="24"/>
        </w:rPr>
        <w:t xml:space="preserve">. </w:t>
      </w:r>
      <w:r w:rsidR="00256848" w:rsidRPr="001E027C">
        <w:rPr>
          <w:sz w:val="24"/>
          <w:szCs w:val="24"/>
        </w:rPr>
        <w:t xml:space="preserve">To access EDSS and for additional information, visit the Court’s website at </w:t>
      </w:r>
      <w:r w:rsidR="00AA77FE" w:rsidRPr="001E027C">
        <w:rPr>
          <w:sz w:val="24"/>
          <w:szCs w:val="24"/>
        </w:rPr>
        <w:t>https://apps.cacd.uscourts.gov/edss</w:t>
      </w:r>
      <w:r w:rsidR="00256848" w:rsidRPr="001E027C">
        <w:rPr>
          <w:sz w:val="24"/>
          <w:szCs w:val="24"/>
        </w:rPr>
        <w:t>.</w:t>
      </w:r>
    </w:p>
    <w:p w14:paraId="3D0A8461" w14:textId="21A165CC" w:rsidR="006519D1" w:rsidRPr="00D1201F" w:rsidRDefault="006519D1" w:rsidP="006519D1">
      <w:pPr>
        <w:numPr>
          <w:ilvl w:val="0"/>
          <w:numId w:val="26"/>
        </w:numPr>
        <w:rPr>
          <w:b/>
          <w:bCs/>
          <w:sz w:val="24"/>
          <w:szCs w:val="24"/>
          <w:u w:val="single"/>
        </w:rPr>
      </w:pPr>
      <w:r w:rsidRPr="00D1201F">
        <w:rPr>
          <w:b/>
          <w:bCs/>
          <w:sz w:val="24"/>
          <w:szCs w:val="24"/>
          <w:u w:val="single"/>
        </w:rPr>
        <w:t>Communications with Chambers</w:t>
      </w:r>
    </w:p>
    <w:p w14:paraId="578548B1" w14:textId="5C8534D0" w:rsidR="006519D1" w:rsidRDefault="006519D1" w:rsidP="001E027C">
      <w:pPr>
        <w:ind w:firstLine="720"/>
        <w:rPr>
          <w:sz w:val="24"/>
          <w:szCs w:val="24"/>
        </w:rPr>
      </w:pPr>
      <w:r w:rsidRPr="00D1201F">
        <w:rPr>
          <w:sz w:val="24"/>
          <w:szCs w:val="24"/>
        </w:rPr>
        <w:t xml:space="preserve">Counsel must not attempt to contact the Court or </w:t>
      </w:r>
      <w:r>
        <w:rPr>
          <w:sz w:val="24"/>
          <w:szCs w:val="24"/>
        </w:rPr>
        <w:t>c</w:t>
      </w:r>
      <w:r w:rsidRPr="00D1201F">
        <w:rPr>
          <w:sz w:val="24"/>
          <w:szCs w:val="24"/>
        </w:rPr>
        <w:t xml:space="preserve">hambers staff by email, telephone, or by any other ex </w:t>
      </w:r>
      <w:proofErr w:type="spellStart"/>
      <w:r w:rsidRPr="00D1201F">
        <w:rPr>
          <w:sz w:val="24"/>
          <w:szCs w:val="24"/>
        </w:rPr>
        <w:t>parte</w:t>
      </w:r>
      <w:proofErr w:type="spellEnd"/>
      <w:r w:rsidRPr="00D1201F">
        <w:rPr>
          <w:sz w:val="24"/>
          <w:szCs w:val="24"/>
        </w:rPr>
        <w:t xml:space="preserve"> means. Counsel may, for appropriate matters only, contact the Courtroom Deputy via </w:t>
      </w:r>
      <w:r>
        <w:rPr>
          <w:sz w:val="24"/>
          <w:szCs w:val="24"/>
        </w:rPr>
        <w:t>the Court’s c</w:t>
      </w:r>
      <w:r w:rsidRPr="00D1201F">
        <w:rPr>
          <w:sz w:val="24"/>
          <w:szCs w:val="24"/>
        </w:rPr>
        <w:t xml:space="preserve">hambers email at </w:t>
      </w:r>
      <w:r w:rsidRPr="006519D1">
        <w:rPr>
          <w:sz w:val="24"/>
          <w:szCs w:val="24"/>
        </w:rPr>
        <w:t>MEMF_Chambers@cacd.uscourts.gov</w:t>
      </w:r>
      <w:r w:rsidRPr="00D1201F">
        <w:rPr>
          <w:sz w:val="24"/>
          <w:szCs w:val="24"/>
        </w:rPr>
        <w:t xml:space="preserve">. </w:t>
      </w:r>
      <w:r w:rsidR="00644C8A">
        <w:rPr>
          <w:sz w:val="24"/>
          <w:szCs w:val="24"/>
        </w:rPr>
        <w:t>A</w:t>
      </w:r>
      <w:r w:rsidR="00CB1D4B">
        <w:rPr>
          <w:sz w:val="24"/>
          <w:szCs w:val="24"/>
        </w:rPr>
        <w:t xml:space="preserve">ny </w:t>
      </w:r>
      <w:r w:rsidR="00644C8A">
        <w:rPr>
          <w:sz w:val="24"/>
          <w:szCs w:val="24"/>
        </w:rPr>
        <w:t>communication with chambers should be directed to this email address.</w:t>
      </w:r>
      <w:r w:rsidR="00583D95">
        <w:rPr>
          <w:sz w:val="24"/>
          <w:szCs w:val="24"/>
        </w:rPr>
        <w:t xml:space="preserve"> </w:t>
      </w:r>
      <w:r w:rsidR="007A4726">
        <w:rPr>
          <w:sz w:val="24"/>
          <w:szCs w:val="24"/>
        </w:rPr>
        <w:t xml:space="preserve">All emails to chambers should include the case name and number in the subject line. </w:t>
      </w:r>
      <w:r w:rsidRPr="00D1201F">
        <w:rPr>
          <w:sz w:val="24"/>
          <w:szCs w:val="24"/>
        </w:rPr>
        <w:t xml:space="preserve">Counsel must not contact the Courtroom Deputy regarding the status of any matter before the Court. </w:t>
      </w:r>
      <w:r w:rsidRPr="00117F0D">
        <w:rPr>
          <w:sz w:val="24"/>
          <w:szCs w:val="24"/>
        </w:rPr>
        <w:t xml:space="preserve">Calls </w:t>
      </w:r>
      <w:r>
        <w:rPr>
          <w:sz w:val="24"/>
          <w:szCs w:val="24"/>
        </w:rPr>
        <w:t xml:space="preserve">or emails </w:t>
      </w:r>
      <w:r w:rsidRPr="00117F0D">
        <w:rPr>
          <w:sz w:val="24"/>
          <w:szCs w:val="24"/>
        </w:rPr>
        <w:t>regarding the status of submitted motions, stipulations</w:t>
      </w:r>
      <w:r>
        <w:rPr>
          <w:sz w:val="24"/>
          <w:szCs w:val="24"/>
        </w:rPr>
        <w:t>,</w:t>
      </w:r>
      <w:r w:rsidRPr="00117F0D">
        <w:rPr>
          <w:sz w:val="24"/>
          <w:szCs w:val="24"/>
        </w:rPr>
        <w:t xml:space="preserve"> or proposed orders will not be returned. Counsel may determine the status of any submitted motion, stipulation, or proposed order by accessing the docket sheet through</w:t>
      </w:r>
      <w:r>
        <w:rPr>
          <w:sz w:val="24"/>
          <w:szCs w:val="24"/>
        </w:rPr>
        <w:t xml:space="preserve"> PACER, which can be accessed via</w:t>
      </w:r>
      <w:r w:rsidRPr="00117F0D">
        <w:rPr>
          <w:sz w:val="24"/>
          <w:szCs w:val="24"/>
        </w:rPr>
        <w:t xml:space="preserve"> </w:t>
      </w:r>
      <w:r>
        <w:rPr>
          <w:sz w:val="24"/>
          <w:szCs w:val="24"/>
        </w:rPr>
        <w:t>the Central District of California website</w:t>
      </w:r>
      <w:r w:rsidRPr="00117F0D">
        <w:rPr>
          <w:sz w:val="24"/>
          <w:szCs w:val="24"/>
        </w:rPr>
        <w:t>.</w:t>
      </w:r>
      <w:r>
        <w:rPr>
          <w:sz w:val="24"/>
          <w:szCs w:val="24"/>
        </w:rPr>
        <w:t xml:space="preserve"> </w:t>
      </w:r>
      <w:r w:rsidRPr="00D1201F">
        <w:rPr>
          <w:sz w:val="24"/>
          <w:szCs w:val="24"/>
        </w:rPr>
        <w:t xml:space="preserve">Counsel must include on all </w:t>
      </w:r>
      <w:r w:rsidRPr="00D1201F">
        <w:rPr>
          <w:sz w:val="24"/>
          <w:szCs w:val="24"/>
        </w:rPr>
        <w:lastRenderedPageBreak/>
        <w:t xml:space="preserve">papers their email address, telephone number, and fax number to facilitate communication with the Courtroom Deputy. </w:t>
      </w:r>
    </w:p>
    <w:p w14:paraId="2F4284C5" w14:textId="77777777" w:rsidR="006519D1" w:rsidRPr="000D636D" w:rsidRDefault="006519D1" w:rsidP="006519D1">
      <w:pPr>
        <w:numPr>
          <w:ilvl w:val="0"/>
          <w:numId w:val="26"/>
        </w:numPr>
        <w:rPr>
          <w:b/>
          <w:bCs/>
          <w:sz w:val="24"/>
          <w:szCs w:val="24"/>
          <w:u w:val="single"/>
        </w:rPr>
      </w:pPr>
      <w:r w:rsidRPr="00D1201F">
        <w:rPr>
          <w:b/>
          <w:bCs/>
          <w:sz w:val="24"/>
          <w:szCs w:val="24"/>
          <w:u w:val="single"/>
        </w:rPr>
        <w:t>Courtroom Decorum</w:t>
      </w:r>
    </w:p>
    <w:p w14:paraId="25EC4492" w14:textId="77777777" w:rsidR="006519D1" w:rsidRPr="000D636D" w:rsidRDefault="006519D1" w:rsidP="001E027C">
      <w:pPr>
        <w:ind w:firstLine="720"/>
        <w:rPr>
          <w:b/>
          <w:bCs/>
          <w:sz w:val="24"/>
          <w:szCs w:val="24"/>
          <w:u w:val="single"/>
        </w:rPr>
      </w:pPr>
      <w:r w:rsidRPr="000D636D">
        <w:rPr>
          <w:sz w:val="24"/>
          <w:szCs w:val="24"/>
        </w:rPr>
        <w:t>The Court expects everyone in her courtroom to treat each other with dignity and respect. Therefore, at a minimum, she expects the following from all</w:t>
      </w:r>
      <w:r>
        <w:rPr>
          <w:rStyle w:val="FootnoteReference"/>
          <w:sz w:val="24"/>
          <w:szCs w:val="24"/>
        </w:rPr>
        <w:footnoteReference w:id="9"/>
      </w:r>
      <w:r w:rsidRPr="000D636D">
        <w:rPr>
          <w:sz w:val="24"/>
          <w:szCs w:val="24"/>
        </w:rPr>
        <w:t>:</w:t>
      </w:r>
    </w:p>
    <w:p w14:paraId="740F680F" w14:textId="4D1736F5" w:rsidR="006519D1" w:rsidRPr="00D1201F" w:rsidRDefault="006519D1" w:rsidP="006519D1">
      <w:pPr>
        <w:numPr>
          <w:ilvl w:val="0"/>
          <w:numId w:val="28"/>
        </w:numPr>
        <w:ind w:left="1080"/>
        <w:rPr>
          <w:sz w:val="24"/>
          <w:szCs w:val="24"/>
        </w:rPr>
      </w:pPr>
      <w:r w:rsidRPr="00D1201F">
        <w:rPr>
          <w:sz w:val="24"/>
          <w:szCs w:val="24"/>
        </w:rPr>
        <w:t>Be</w:t>
      </w:r>
      <w:r w:rsidR="00A33CEC">
        <w:rPr>
          <w:sz w:val="24"/>
          <w:szCs w:val="24"/>
        </w:rPr>
        <w:t>ing</w:t>
      </w:r>
      <w:r w:rsidRPr="00D1201F">
        <w:rPr>
          <w:sz w:val="24"/>
          <w:szCs w:val="24"/>
        </w:rPr>
        <w:t xml:space="preserve"> punctual</w:t>
      </w:r>
      <w:r>
        <w:rPr>
          <w:sz w:val="24"/>
          <w:szCs w:val="24"/>
        </w:rPr>
        <w:t xml:space="preserve"> and prepared for all court appearances.</w:t>
      </w:r>
    </w:p>
    <w:p w14:paraId="0E17EB2F" w14:textId="323D41A5" w:rsidR="006519D1" w:rsidRDefault="006519D1" w:rsidP="006519D1">
      <w:pPr>
        <w:numPr>
          <w:ilvl w:val="0"/>
          <w:numId w:val="28"/>
        </w:numPr>
        <w:ind w:left="1080"/>
        <w:rPr>
          <w:sz w:val="24"/>
          <w:szCs w:val="24"/>
        </w:rPr>
      </w:pPr>
      <w:r>
        <w:rPr>
          <w:sz w:val="24"/>
          <w:szCs w:val="24"/>
        </w:rPr>
        <w:t>Speak</w:t>
      </w:r>
      <w:r w:rsidR="00A33CEC">
        <w:rPr>
          <w:sz w:val="24"/>
          <w:szCs w:val="24"/>
        </w:rPr>
        <w:t>ing</w:t>
      </w:r>
      <w:r>
        <w:rPr>
          <w:sz w:val="24"/>
          <w:szCs w:val="24"/>
        </w:rPr>
        <w:t xml:space="preserve"> and writ</w:t>
      </w:r>
      <w:r w:rsidR="00A33CEC">
        <w:rPr>
          <w:sz w:val="24"/>
          <w:szCs w:val="24"/>
        </w:rPr>
        <w:t>ing</w:t>
      </w:r>
      <w:r>
        <w:rPr>
          <w:sz w:val="24"/>
          <w:szCs w:val="24"/>
        </w:rPr>
        <w:t xml:space="preserve"> civilly and respectfully in all communications involving the Court. This includes:</w:t>
      </w:r>
    </w:p>
    <w:p w14:paraId="46A6148F" w14:textId="77777777" w:rsidR="006519D1" w:rsidRPr="00D1201F" w:rsidRDefault="006519D1" w:rsidP="006519D1">
      <w:pPr>
        <w:numPr>
          <w:ilvl w:val="1"/>
          <w:numId w:val="28"/>
        </w:numPr>
        <w:rPr>
          <w:sz w:val="24"/>
          <w:szCs w:val="24"/>
        </w:rPr>
      </w:pPr>
      <w:r>
        <w:rPr>
          <w:sz w:val="24"/>
          <w:szCs w:val="24"/>
        </w:rPr>
        <w:t>Referring</w:t>
      </w:r>
      <w:r w:rsidRPr="00D1201F">
        <w:rPr>
          <w:sz w:val="24"/>
          <w:szCs w:val="24"/>
        </w:rPr>
        <w:t xml:space="preserve"> to and address</w:t>
      </w:r>
      <w:r>
        <w:rPr>
          <w:sz w:val="24"/>
          <w:szCs w:val="24"/>
        </w:rPr>
        <w:t>ing</w:t>
      </w:r>
      <w:r w:rsidRPr="00D1201F">
        <w:rPr>
          <w:sz w:val="24"/>
          <w:szCs w:val="24"/>
        </w:rPr>
        <w:t xml:space="preserve"> witnesses, </w:t>
      </w:r>
      <w:r>
        <w:rPr>
          <w:sz w:val="24"/>
          <w:szCs w:val="24"/>
        </w:rPr>
        <w:t>c</w:t>
      </w:r>
      <w:r w:rsidRPr="00D1201F">
        <w:rPr>
          <w:sz w:val="24"/>
          <w:szCs w:val="24"/>
        </w:rPr>
        <w:t>ounsel, parties</w:t>
      </w:r>
      <w:r>
        <w:rPr>
          <w:sz w:val="24"/>
          <w:szCs w:val="24"/>
        </w:rPr>
        <w:t>, and court personnel</w:t>
      </w:r>
      <w:r w:rsidRPr="00D1201F">
        <w:rPr>
          <w:sz w:val="24"/>
          <w:szCs w:val="24"/>
        </w:rPr>
        <w:t xml:space="preserve"> by their surnames,</w:t>
      </w:r>
      <w:r>
        <w:rPr>
          <w:sz w:val="24"/>
          <w:szCs w:val="24"/>
        </w:rPr>
        <w:t xml:space="preserve"> pronouns, and honorifics,</w:t>
      </w:r>
      <w:r w:rsidRPr="00D1201F">
        <w:rPr>
          <w:sz w:val="24"/>
          <w:szCs w:val="24"/>
        </w:rPr>
        <w:t xml:space="preserve"> unless leave to do otherwise is granted.</w:t>
      </w:r>
    </w:p>
    <w:p w14:paraId="6C6F8B69" w14:textId="77777777" w:rsidR="006519D1" w:rsidRPr="00D1201F" w:rsidRDefault="006519D1" w:rsidP="006519D1">
      <w:pPr>
        <w:numPr>
          <w:ilvl w:val="1"/>
          <w:numId w:val="28"/>
        </w:numPr>
        <w:rPr>
          <w:sz w:val="24"/>
          <w:szCs w:val="24"/>
        </w:rPr>
      </w:pPr>
      <w:r>
        <w:rPr>
          <w:sz w:val="24"/>
          <w:szCs w:val="24"/>
        </w:rPr>
        <w:t>Refraining</w:t>
      </w:r>
      <w:r w:rsidRPr="00D1201F">
        <w:rPr>
          <w:sz w:val="24"/>
          <w:szCs w:val="24"/>
        </w:rPr>
        <w:t xml:space="preserve"> from interrupting any other person in the courtroom when someone else is speaking. The same courtesy will be returned for every person.</w:t>
      </w:r>
    </w:p>
    <w:p w14:paraId="0E4436B4" w14:textId="77777777" w:rsidR="006519D1" w:rsidRDefault="006519D1" w:rsidP="006519D1">
      <w:pPr>
        <w:numPr>
          <w:ilvl w:val="1"/>
          <w:numId w:val="28"/>
        </w:numPr>
        <w:rPr>
          <w:sz w:val="24"/>
          <w:szCs w:val="24"/>
        </w:rPr>
      </w:pPr>
      <w:r w:rsidRPr="00D1201F">
        <w:rPr>
          <w:sz w:val="24"/>
          <w:szCs w:val="24"/>
        </w:rPr>
        <w:t>Refrain</w:t>
      </w:r>
      <w:r>
        <w:rPr>
          <w:sz w:val="24"/>
          <w:szCs w:val="24"/>
        </w:rPr>
        <w:t>ing</w:t>
      </w:r>
      <w:r w:rsidRPr="00D1201F">
        <w:rPr>
          <w:sz w:val="24"/>
          <w:szCs w:val="24"/>
        </w:rPr>
        <w:t xml:space="preserve"> from making gestures, facial expressions, or audible comments as manifestations of approval or disapproval of testimony or argument.</w:t>
      </w:r>
    </w:p>
    <w:p w14:paraId="69F35F18" w14:textId="4A4F8A1F" w:rsidR="006519D1" w:rsidRDefault="006519D1" w:rsidP="006519D1">
      <w:pPr>
        <w:numPr>
          <w:ilvl w:val="0"/>
          <w:numId w:val="28"/>
        </w:numPr>
        <w:ind w:left="1080"/>
        <w:rPr>
          <w:sz w:val="24"/>
          <w:szCs w:val="24"/>
        </w:rPr>
      </w:pPr>
      <w:r>
        <w:rPr>
          <w:sz w:val="24"/>
          <w:szCs w:val="24"/>
        </w:rPr>
        <w:t>Be</w:t>
      </w:r>
      <w:r w:rsidR="00A33CEC">
        <w:rPr>
          <w:sz w:val="24"/>
          <w:szCs w:val="24"/>
        </w:rPr>
        <w:t>ing</w:t>
      </w:r>
      <w:r>
        <w:rPr>
          <w:sz w:val="24"/>
          <w:szCs w:val="24"/>
        </w:rPr>
        <w:t xml:space="preserve"> considerate of the time constraints and pressures on the Court and court staff inherent in their efforts to administer justice.</w:t>
      </w:r>
    </w:p>
    <w:p w14:paraId="38941567" w14:textId="58A634EC" w:rsidR="006519D1" w:rsidRDefault="006519D1" w:rsidP="006519D1">
      <w:pPr>
        <w:numPr>
          <w:ilvl w:val="0"/>
          <w:numId w:val="28"/>
        </w:numPr>
        <w:ind w:left="1080"/>
        <w:rPr>
          <w:sz w:val="24"/>
          <w:szCs w:val="24"/>
        </w:rPr>
      </w:pPr>
      <w:r>
        <w:rPr>
          <w:sz w:val="24"/>
          <w:szCs w:val="24"/>
        </w:rPr>
        <w:t>Act</w:t>
      </w:r>
      <w:r w:rsidR="00A33CEC">
        <w:rPr>
          <w:sz w:val="24"/>
          <w:szCs w:val="24"/>
        </w:rPr>
        <w:t>ing</w:t>
      </w:r>
      <w:r>
        <w:rPr>
          <w:sz w:val="24"/>
          <w:szCs w:val="24"/>
        </w:rPr>
        <w:t xml:space="preserve"> and speak</w:t>
      </w:r>
      <w:r w:rsidR="00A33CEC">
        <w:rPr>
          <w:sz w:val="24"/>
          <w:szCs w:val="24"/>
        </w:rPr>
        <w:t>ing</w:t>
      </w:r>
      <w:r>
        <w:rPr>
          <w:sz w:val="24"/>
          <w:szCs w:val="24"/>
        </w:rPr>
        <w:t xml:space="preserve"> civilly to court marshals, court clerks, court reporters, secretaries, and law clerks with an awareness that they, too, are an integral part of the judicial system.</w:t>
      </w:r>
    </w:p>
    <w:p w14:paraId="2405E9A9" w14:textId="77777777" w:rsidR="006519D1" w:rsidRPr="00D1201F" w:rsidRDefault="006519D1" w:rsidP="0021244D">
      <w:pPr>
        <w:numPr>
          <w:ilvl w:val="0"/>
          <w:numId w:val="26"/>
        </w:numPr>
        <w:ind w:hanging="270"/>
        <w:rPr>
          <w:b/>
          <w:bCs/>
          <w:sz w:val="24"/>
          <w:szCs w:val="24"/>
          <w:u w:val="single"/>
        </w:rPr>
      </w:pPr>
      <w:r w:rsidRPr="00D1201F">
        <w:rPr>
          <w:b/>
          <w:bCs/>
          <w:sz w:val="24"/>
          <w:szCs w:val="24"/>
          <w:u w:val="single"/>
        </w:rPr>
        <w:t>Guidance for Pro Se Litigants</w:t>
      </w:r>
    </w:p>
    <w:p w14:paraId="11E1B8B0" w14:textId="5B2B7F4B" w:rsidR="006519D1" w:rsidRPr="00D1201F" w:rsidRDefault="006519D1" w:rsidP="001E027C">
      <w:pPr>
        <w:ind w:firstLine="720"/>
        <w:rPr>
          <w:sz w:val="24"/>
          <w:szCs w:val="24"/>
        </w:rPr>
      </w:pPr>
      <w:r w:rsidRPr="00D1201F">
        <w:rPr>
          <w:sz w:val="24"/>
          <w:szCs w:val="24"/>
        </w:rPr>
        <w:t>Parties who represent themselves in civil litigation</w:t>
      </w:r>
      <w:r>
        <w:rPr>
          <w:sz w:val="24"/>
          <w:szCs w:val="24"/>
        </w:rPr>
        <w:t xml:space="preserve"> (</w:t>
      </w:r>
      <w:r w:rsidRPr="00D1201F">
        <w:rPr>
          <w:i/>
          <w:iCs/>
          <w:sz w:val="24"/>
          <w:szCs w:val="24"/>
        </w:rPr>
        <w:t>i.e.</w:t>
      </w:r>
      <w:r w:rsidRPr="00D1201F">
        <w:rPr>
          <w:sz w:val="24"/>
          <w:szCs w:val="24"/>
        </w:rPr>
        <w:t>, appear pro se</w:t>
      </w:r>
      <w:r>
        <w:rPr>
          <w:sz w:val="24"/>
          <w:szCs w:val="24"/>
        </w:rPr>
        <w:t>)</w:t>
      </w:r>
      <w:r w:rsidRPr="00D1201F">
        <w:rPr>
          <w:sz w:val="24"/>
          <w:szCs w:val="24"/>
        </w:rPr>
        <w:t>, should be aware that the Court holds these parties to the same standards of conduct to which it holds attorneys.</w:t>
      </w:r>
      <w:r w:rsidR="00397173">
        <w:rPr>
          <w:sz w:val="24"/>
          <w:szCs w:val="24"/>
        </w:rPr>
        <w:t xml:space="preserve"> In cases with pro se litigants, a</w:t>
      </w:r>
      <w:r w:rsidR="00C02DB4">
        <w:rPr>
          <w:sz w:val="24"/>
          <w:szCs w:val="24"/>
        </w:rPr>
        <w:t>n additional</w:t>
      </w:r>
      <w:r w:rsidR="00397173">
        <w:rPr>
          <w:sz w:val="24"/>
          <w:szCs w:val="24"/>
        </w:rPr>
        <w:t xml:space="preserve"> order will </w:t>
      </w:r>
      <w:proofErr w:type="gramStart"/>
      <w:r w:rsidR="00397173">
        <w:rPr>
          <w:sz w:val="24"/>
          <w:szCs w:val="24"/>
        </w:rPr>
        <w:t>issue</w:t>
      </w:r>
      <w:proofErr w:type="gramEnd"/>
      <w:r w:rsidR="00397173">
        <w:rPr>
          <w:sz w:val="24"/>
          <w:szCs w:val="24"/>
        </w:rPr>
        <w:t xml:space="preserve"> with resources for those representing themselves</w:t>
      </w:r>
      <w:r w:rsidR="0021244D">
        <w:rPr>
          <w:sz w:val="24"/>
          <w:szCs w:val="24"/>
        </w:rPr>
        <w:t xml:space="preserve"> in civil matters</w:t>
      </w:r>
      <w:r w:rsidR="00397173">
        <w:rPr>
          <w:sz w:val="24"/>
          <w:szCs w:val="24"/>
        </w:rPr>
        <w:t>.</w:t>
      </w:r>
      <w:r w:rsidR="0021244D">
        <w:rPr>
          <w:sz w:val="24"/>
          <w:szCs w:val="24"/>
        </w:rPr>
        <w:t xml:space="preserve"> </w:t>
      </w:r>
      <w:r w:rsidR="00397173">
        <w:rPr>
          <w:sz w:val="24"/>
          <w:szCs w:val="24"/>
        </w:rPr>
        <w:t xml:space="preserve"> </w:t>
      </w:r>
    </w:p>
    <w:p w14:paraId="1828E279" w14:textId="5F0A32F9" w:rsidR="0099513B" w:rsidRDefault="0099513B" w:rsidP="0021244D">
      <w:pPr>
        <w:numPr>
          <w:ilvl w:val="0"/>
          <w:numId w:val="26"/>
        </w:numPr>
        <w:ind w:left="792" w:hanging="252"/>
        <w:rPr>
          <w:b/>
          <w:bCs/>
          <w:sz w:val="24"/>
          <w:szCs w:val="24"/>
          <w:u w:val="single"/>
        </w:rPr>
      </w:pPr>
      <w:r>
        <w:rPr>
          <w:b/>
          <w:bCs/>
          <w:sz w:val="24"/>
          <w:szCs w:val="24"/>
          <w:u w:val="single"/>
        </w:rPr>
        <w:t>Additional Information</w:t>
      </w:r>
    </w:p>
    <w:p w14:paraId="6585DE27" w14:textId="5A9E25FC" w:rsidR="0099513B" w:rsidRDefault="0099513B" w:rsidP="0099513B">
      <w:pPr>
        <w:numPr>
          <w:ilvl w:val="1"/>
          <w:numId w:val="26"/>
        </w:numPr>
        <w:rPr>
          <w:b/>
          <w:bCs/>
          <w:sz w:val="24"/>
          <w:szCs w:val="24"/>
        </w:rPr>
      </w:pPr>
      <w:r w:rsidRPr="00AA62A2">
        <w:rPr>
          <w:b/>
          <w:bCs/>
          <w:sz w:val="24"/>
          <w:szCs w:val="24"/>
        </w:rPr>
        <w:t>Interpreter Services</w:t>
      </w:r>
    </w:p>
    <w:p w14:paraId="58B1A004" w14:textId="49EDC37F" w:rsidR="003E0360" w:rsidRPr="00AA62A2" w:rsidRDefault="0099513B" w:rsidP="00165BB7">
      <w:pPr>
        <w:ind w:firstLine="720"/>
        <w:rPr>
          <w:sz w:val="24"/>
          <w:szCs w:val="24"/>
        </w:rPr>
      </w:pPr>
      <w:r>
        <w:rPr>
          <w:sz w:val="24"/>
          <w:szCs w:val="24"/>
        </w:rPr>
        <w:lastRenderedPageBreak/>
        <w:t>Counsel in civil actions are responsible for arranging for the services of an interpreter. The Interpreter’s Office may be reached at (213) 894-4599.</w:t>
      </w:r>
    </w:p>
    <w:p w14:paraId="72608774" w14:textId="23CD5B00" w:rsidR="006519D1" w:rsidRPr="00D1201F" w:rsidRDefault="006519D1" w:rsidP="004C1C11">
      <w:pPr>
        <w:numPr>
          <w:ilvl w:val="0"/>
          <w:numId w:val="26"/>
        </w:numPr>
        <w:ind w:left="864"/>
        <w:rPr>
          <w:b/>
          <w:bCs/>
          <w:sz w:val="24"/>
          <w:szCs w:val="24"/>
          <w:u w:val="single"/>
        </w:rPr>
      </w:pPr>
      <w:r w:rsidRPr="00D1201F">
        <w:rPr>
          <w:b/>
          <w:bCs/>
          <w:sz w:val="24"/>
          <w:szCs w:val="24"/>
          <w:u w:val="single"/>
        </w:rPr>
        <w:t xml:space="preserve">Notice of </w:t>
      </w:r>
      <w:r w:rsidR="00511672">
        <w:rPr>
          <w:b/>
          <w:bCs/>
          <w:sz w:val="24"/>
          <w:szCs w:val="24"/>
          <w:u w:val="single"/>
        </w:rPr>
        <w:t>T</w:t>
      </w:r>
      <w:r w:rsidRPr="00D1201F">
        <w:rPr>
          <w:b/>
          <w:bCs/>
          <w:sz w:val="24"/>
          <w:szCs w:val="24"/>
          <w:u w:val="single"/>
        </w:rPr>
        <w:t>his Order</w:t>
      </w:r>
    </w:p>
    <w:p w14:paraId="3F75998D" w14:textId="1FABB7E5" w:rsidR="006519D1" w:rsidRPr="00A63C0C" w:rsidRDefault="006519D1" w:rsidP="001E027C">
      <w:pPr>
        <w:ind w:firstLine="720"/>
        <w:rPr>
          <w:b/>
          <w:bCs/>
          <w:sz w:val="24"/>
          <w:szCs w:val="24"/>
        </w:rPr>
      </w:pPr>
      <w:r w:rsidRPr="00D1201F">
        <w:rPr>
          <w:b/>
          <w:bCs/>
          <w:sz w:val="24"/>
          <w:szCs w:val="24"/>
        </w:rPr>
        <w:t xml:space="preserve">Counsel for Plaintiff shall immediately serve this Order on all parties, including any new parties to the action. If this case came to the Court by noticed removal, the </w:t>
      </w:r>
      <w:r>
        <w:rPr>
          <w:b/>
          <w:bCs/>
          <w:sz w:val="24"/>
          <w:szCs w:val="24"/>
        </w:rPr>
        <w:t>D</w:t>
      </w:r>
      <w:r w:rsidRPr="00D1201F">
        <w:rPr>
          <w:b/>
          <w:bCs/>
          <w:sz w:val="24"/>
          <w:szCs w:val="24"/>
        </w:rPr>
        <w:t>efendant shall serve this Order on all other parties.</w:t>
      </w:r>
    </w:p>
    <w:p w14:paraId="60D6F32C" w14:textId="77777777" w:rsidR="00A63C0C" w:rsidRDefault="00A63C0C" w:rsidP="00A63C0C">
      <w:pPr>
        <w:ind w:firstLine="360"/>
        <w:rPr>
          <w:sz w:val="24"/>
          <w:szCs w:val="24"/>
        </w:rPr>
      </w:pPr>
    </w:p>
    <w:p w14:paraId="23B4E9CD" w14:textId="38F5078F" w:rsidR="00A63C0C" w:rsidRDefault="006519D1" w:rsidP="0099513B">
      <w:pPr>
        <w:ind w:firstLine="360"/>
        <w:rPr>
          <w:sz w:val="24"/>
          <w:szCs w:val="24"/>
        </w:rPr>
      </w:pPr>
      <w:r w:rsidRPr="00D1201F">
        <w:rPr>
          <w:sz w:val="24"/>
          <w:szCs w:val="24"/>
        </w:rPr>
        <w:t xml:space="preserve">IT IS SO ORDERED. </w:t>
      </w:r>
    </w:p>
    <w:p w14:paraId="46DF3A49" w14:textId="7CCBCD12" w:rsidR="00EA6918" w:rsidRDefault="00EA6918" w:rsidP="00A63C0C">
      <w:pPr>
        <w:ind w:firstLine="360"/>
        <w:rPr>
          <w:sz w:val="24"/>
          <w:szCs w:val="24"/>
        </w:rPr>
      </w:pPr>
    </w:p>
    <w:p w14:paraId="3187217A" w14:textId="77777777" w:rsidR="00EA6918" w:rsidRPr="00D1201F" w:rsidRDefault="00EA6918" w:rsidP="00A63C0C">
      <w:pPr>
        <w:ind w:firstLine="36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655"/>
      </w:tblGrid>
      <w:tr w:rsidR="000B1ED5" w14:paraId="05D80297" w14:textId="77777777" w:rsidTr="000B1ED5">
        <w:tc>
          <w:tcPr>
            <w:tcW w:w="3055" w:type="dxa"/>
            <w:hideMark/>
          </w:tcPr>
          <w:p w14:paraId="0069E5C2" w14:textId="076E929E" w:rsidR="000B1ED5" w:rsidRDefault="000B1ED5">
            <w:pPr>
              <w:rPr>
                <w:rFonts w:cstheme="minorHAnsi"/>
                <w:sz w:val="24"/>
                <w:szCs w:val="24"/>
                <w:highlight w:val="yellow"/>
              </w:rPr>
            </w:pPr>
            <w:r w:rsidRPr="000B1ED5">
              <w:rPr>
                <w:rFonts w:cstheme="minorHAnsi"/>
                <w:sz w:val="24"/>
                <w:szCs w:val="24"/>
              </w:rPr>
              <w:t xml:space="preserve">Dated: </w:t>
            </w:r>
            <w:r w:rsidR="000B6C5A">
              <w:rPr>
                <w:rFonts w:cstheme="minorHAnsi"/>
                <w:sz w:val="24"/>
                <w:szCs w:val="24"/>
              </w:rPr>
              <w:t xml:space="preserve">June </w:t>
            </w:r>
            <w:r w:rsidRPr="000B1ED5">
              <w:rPr>
                <w:rFonts w:cstheme="minorHAnsi"/>
                <w:sz w:val="24"/>
                <w:szCs w:val="24"/>
              </w:rPr>
              <w:t>, 202</w:t>
            </w:r>
            <w:r w:rsidR="00CE6BDC">
              <w:rPr>
                <w:rFonts w:cstheme="minorHAnsi"/>
                <w:sz w:val="24"/>
                <w:szCs w:val="24"/>
              </w:rPr>
              <w:t>5</w:t>
            </w:r>
          </w:p>
        </w:tc>
        <w:tc>
          <w:tcPr>
            <w:tcW w:w="6655" w:type="dxa"/>
            <w:hideMark/>
          </w:tcPr>
          <w:p w14:paraId="799FE318" w14:textId="77777777" w:rsidR="000B1ED5" w:rsidRDefault="000B1ED5">
            <w:pPr>
              <w:jc w:val="center"/>
              <w:rPr>
                <w:rFonts w:cstheme="minorHAnsi"/>
                <w:sz w:val="24"/>
                <w:szCs w:val="24"/>
              </w:rPr>
            </w:pPr>
            <w:r>
              <w:rPr>
                <w:rFonts w:cstheme="minorHAnsi"/>
                <w:sz w:val="24"/>
                <w:szCs w:val="24"/>
              </w:rPr>
              <w:t>___________________________________</w:t>
            </w:r>
          </w:p>
        </w:tc>
      </w:tr>
      <w:tr w:rsidR="000B1ED5" w14:paraId="475FFC04" w14:textId="77777777" w:rsidTr="000B1ED5">
        <w:tc>
          <w:tcPr>
            <w:tcW w:w="3055" w:type="dxa"/>
          </w:tcPr>
          <w:p w14:paraId="4AE807E3" w14:textId="77777777" w:rsidR="000B1ED5" w:rsidRDefault="000B1ED5">
            <w:pPr>
              <w:ind w:firstLine="1440"/>
              <w:rPr>
                <w:rFonts w:cstheme="minorHAnsi"/>
                <w:sz w:val="24"/>
                <w:szCs w:val="24"/>
              </w:rPr>
            </w:pPr>
          </w:p>
        </w:tc>
        <w:tc>
          <w:tcPr>
            <w:tcW w:w="6655" w:type="dxa"/>
            <w:hideMark/>
          </w:tcPr>
          <w:p w14:paraId="42836FAC" w14:textId="77777777" w:rsidR="000B1ED5" w:rsidRDefault="000B1ED5">
            <w:pPr>
              <w:tabs>
                <w:tab w:val="left" w:pos="4860"/>
              </w:tabs>
              <w:jc w:val="center"/>
              <w:rPr>
                <w:rFonts w:cstheme="minorHAnsi"/>
                <w:sz w:val="24"/>
                <w:szCs w:val="24"/>
              </w:rPr>
            </w:pPr>
            <w:r>
              <w:rPr>
                <w:rFonts w:cstheme="minorHAnsi"/>
                <w:sz w:val="24"/>
                <w:szCs w:val="24"/>
              </w:rPr>
              <w:t>MAAME EWUSI-MENSAH FRIMPONG</w:t>
            </w:r>
          </w:p>
        </w:tc>
      </w:tr>
      <w:tr w:rsidR="000B1ED5" w14:paraId="21232BBF" w14:textId="77777777" w:rsidTr="000B1ED5">
        <w:tc>
          <w:tcPr>
            <w:tcW w:w="3055" w:type="dxa"/>
          </w:tcPr>
          <w:p w14:paraId="4853F9D2" w14:textId="77777777" w:rsidR="000B1ED5" w:rsidRDefault="000B1ED5">
            <w:pPr>
              <w:ind w:firstLine="1440"/>
              <w:rPr>
                <w:rFonts w:cstheme="minorHAnsi"/>
                <w:sz w:val="24"/>
                <w:szCs w:val="24"/>
              </w:rPr>
            </w:pPr>
          </w:p>
        </w:tc>
        <w:tc>
          <w:tcPr>
            <w:tcW w:w="6655" w:type="dxa"/>
            <w:hideMark/>
          </w:tcPr>
          <w:p w14:paraId="58A3DB5C" w14:textId="77777777" w:rsidR="000B1ED5" w:rsidRDefault="000B1ED5">
            <w:pPr>
              <w:tabs>
                <w:tab w:val="left" w:pos="4860"/>
              </w:tabs>
              <w:jc w:val="center"/>
              <w:rPr>
                <w:rFonts w:cstheme="minorHAnsi"/>
                <w:sz w:val="24"/>
                <w:szCs w:val="24"/>
              </w:rPr>
            </w:pPr>
            <w:r>
              <w:rPr>
                <w:rFonts w:cstheme="minorHAnsi"/>
                <w:sz w:val="24"/>
                <w:szCs w:val="24"/>
              </w:rPr>
              <w:t>United States District Judge</w:t>
            </w:r>
          </w:p>
        </w:tc>
      </w:tr>
    </w:tbl>
    <w:p w14:paraId="52657E67" w14:textId="3E236C98" w:rsidR="00DA69C9" w:rsidRPr="006519D1" w:rsidRDefault="00DA69C9" w:rsidP="006519D1"/>
    <w:sectPr w:rsidR="00DA69C9" w:rsidRPr="006519D1" w:rsidSect="00A56EE2">
      <w:headerReference w:type="default" r:id="rId11"/>
      <w:footerReference w:type="default" r:id="rId12"/>
      <w:pgSz w:w="12240" w:h="15840" w:code="1"/>
      <w:pgMar w:top="-1170" w:right="990" w:bottom="-1080" w:left="1530" w:header="432" w:footer="360" w:gutter="0"/>
      <w:pgNumType w:start="1"/>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5776" w14:textId="77777777" w:rsidR="00340100" w:rsidRDefault="00340100" w:rsidP="001C5C99">
      <w:r>
        <w:separator/>
      </w:r>
    </w:p>
    <w:p w14:paraId="71FF2DBE" w14:textId="77777777" w:rsidR="00340100" w:rsidRDefault="00340100" w:rsidP="001C5C99"/>
    <w:p w14:paraId="658AD718" w14:textId="77777777" w:rsidR="00340100" w:rsidRDefault="00340100" w:rsidP="001C5C99"/>
    <w:p w14:paraId="1A6AA457" w14:textId="77777777" w:rsidR="00340100" w:rsidRDefault="00340100" w:rsidP="001C5C99"/>
    <w:p w14:paraId="082F514F" w14:textId="77777777" w:rsidR="00340100" w:rsidRDefault="00340100" w:rsidP="001C5C99"/>
    <w:p w14:paraId="1A4F03EA" w14:textId="77777777" w:rsidR="00340100" w:rsidRDefault="00340100" w:rsidP="001C5C99"/>
    <w:p w14:paraId="6455F508" w14:textId="77777777" w:rsidR="00340100" w:rsidRDefault="00340100" w:rsidP="001C5C99"/>
    <w:p w14:paraId="50A6299E" w14:textId="77777777" w:rsidR="00340100" w:rsidRDefault="00340100" w:rsidP="001C5C99"/>
    <w:p w14:paraId="119779F4" w14:textId="77777777" w:rsidR="00340100" w:rsidRDefault="00340100" w:rsidP="001C5C99"/>
    <w:p w14:paraId="7B2E3A29" w14:textId="77777777" w:rsidR="00340100" w:rsidRDefault="00340100" w:rsidP="001C5C99"/>
    <w:p w14:paraId="377A43C3" w14:textId="77777777" w:rsidR="00340100" w:rsidRDefault="00340100" w:rsidP="001C5C99"/>
    <w:p w14:paraId="688655E5" w14:textId="77777777" w:rsidR="00340100" w:rsidRDefault="00340100" w:rsidP="001C5C99"/>
    <w:p w14:paraId="049A2C07" w14:textId="77777777" w:rsidR="00340100" w:rsidRDefault="00340100" w:rsidP="001C5C99"/>
    <w:p w14:paraId="2997C95C" w14:textId="77777777" w:rsidR="00340100" w:rsidRDefault="00340100" w:rsidP="001C5C99"/>
    <w:p w14:paraId="3F148678" w14:textId="77777777" w:rsidR="00340100" w:rsidRDefault="00340100" w:rsidP="001C5C99"/>
    <w:p w14:paraId="11777E57" w14:textId="77777777" w:rsidR="00340100" w:rsidRDefault="00340100" w:rsidP="001C5C99"/>
  </w:endnote>
  <w:endnote w:type="continuationSeparator" w:id="0">
    <w:p w14:paraId="38D09176" w14:textId="77777777" w:rsidR="00340100" w:rsidRDefault="00340100" w:rsidP="001C5C99">
      <w:r>
        <w:continuationSeparator/>
      </w:r>
    </w:p>
    <w:p w14:paraId="346936FB" w14:textId="77777777" w:rsidR="00340100" w:rsidRDefault="00340100" w:rsidP="001C5C99"/>
    <w:p w14:paraId="436F103A" w14:textId="77777777" w:rsidR="00340100" w:rsidRDefault="00340100" w:rsidP="001C5C99"/>
    <w:p w14:paraId="16CE6122" w14:textId="77777777" w:rsidR="00340100" w:rsidRDefault="00340100" w:rsidP="001C5C99"/>
    <w:p w14:paraId="06710396" w14:textId="77777777" w:rsidR="00340100" w:rsidRDefault="00340100" w:rsidP="001C5C99"/>
    <w:p w14:paraId="38A347BE" w14:textId="77777777" w:rsidR="00340100" w:rsidRDefault="00340100" w:rsidP="001C5C99"/>
    <w:p w14:paraId="6B040AFA" w14:textId="77777777" w:rsidR="00340100" w:rsidRDefault="00340100" w:rsidP="001C5C99"/>
    <w:p w14:paraId="1526198D" w14:textId="77777777" w:rsidR="00340100" w:rsidRDefault="00340100" w:rsidP="001C5C99"/>
    <w:p w14:paraId="71AEEC18" w14:textId="77777777" w:rsidR="00340100" w:rsidRDefault="00340100" w:rsidP="001C5C99"/>
    <w:p w14:paraId="5EA4458F" w14:textId="77777777" w:rsidR="00340100" w:rsidRDefault="00340100" w:rsidP="001C5C99"/>
    <w:p w14:paraId="5F0D6E11" w14:textId="77777777" w:rsidR="00340100" w:rsidRDefault="00340100" w:rsidP="001C5C99"/>
    <w:p w14:paraId="21446A54" w14:textId="77777777" w:rsidR="00340100" w:rsidRDefault="00340100" w:rsidP="001C5C99"/>
    <w:p w14:paraId="58AFDE6C" w14:textId="77777777" w:rsidR="00340100" w:rsidRDefault="00340100" w:rsidP="001C5C99"/>
    <w:p w14:paraId="6DF4C121" w14:textId="77777777" w:rsidR="00340100" w:rsidRDefault="00340100" w:rsidP="001C5C99"/>
    <w:p w14:paraId="61A1FE68" w14:textId="77777777" w:rsidR="00340100" w:rsidRDefault="00340100" w:rsidP="001C5C99"/>
    <w:p w14:paraId="1EA9B985" w14:textId="77777777" w:rsidR="00340100" w:rsidRDefault="00340100" w:rsidP="001C5C99"/>
  </w:endnote>
  <w:endnote w:type="continuationNotice" w:id="1">
    <w:p w14:paraId="37190C07" w14:textId="77777777" w:rsidR="00340100" w:rsidRDefault="003401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20646"/>
      <w:docPartObj>
        <w:docPartGallery w:val="Page Numbers (Bottom of Page)"/>
        <w:docPartUnique/>
      </w:docPartObj>
    </w:sdtPr>
    <w:sdtEndPr>
      <w:rPr>
        <w:noProof/>
      </w:rPr>
    </w:sdtEndPr>
    <w:sdtContent>
      <w:p w14:paraId="74DC84C2" w14:textId="68524FDE" w:rsidR="00C740E4" w:rsidRDefault="00C740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797A96" w14:textId="77777777" w:rsidR="006F153C" w:rsidRDefault="006F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FACD" w14:textId="77777777" w:rsidR="00340100" w:rsidRDefault="00340100" w:rsidP="00DA075A">
      <w:pPr>
        <w:spacing w:after="120"/>
      </w:pPr>
      <w:r>
        <w:separator/>
      </w:r>
    </w:p>
  </w:footnote>
  <w:footnote w:type="continuationSeparator" w:id="0">
    <w:p w14:paraId="5D70F168" w14:textId="77777777" w:rsidR="00340100" w:rsidRDefault="00340100" w:rsidP="002C149F">
      <w:pPr>
        <w:spacing w:after="120"/>
      </w:pPr>
      <w:r>
        <w:continuationSeparator/>
      </w:r>
    </w:p>
  </w:footnote>
  <w:footnote w:type="continuationNotice" w:id="1">
    <w:p w14:paraId="403EBB60" w14:textId="77777777" w:rsidR="00340100" w:rsidRPr="002C149F" w:rsidRDefault="00340100" w:rsidP="002C149F">
      <w:pPr>
        <w:pStyle w:val="Footer"/>
        <w:spacing w:after="120"/>
      </w:pPr>
    </w:p>
  </w:footnote>
  <w:footnote w:id="2">
    <w:p w14:paraId="1F29C238" w14:textId="2EC0FD2F" w:rsidR="0011241D" w:rsidRPr="00D261BA" w:rsidRDefault="0011241D" w:rsidP="0011241D">
      <w:pPr>
        <w:pStyle w:val="FootnoteText"/>
        <w:spacing w:after="0"/>
        <w:rPr>
          <w:sz w:val="22"/>
          <w:szCs w:val="22"/>
        </w:rPr>
      </w:pPr>
      <w:r w:rsidRPr="00D261BA">
        <w:rPr>
          <w:rStyle w:val="FootnoteReference"/>
          <w:sz w:val="22"/>
          <w:szCs w:val="22"/>
        </w:rPr>
        <w:footnoteRef/>
      </w:r>
      <w:r w:rsidRPr="00D261BA">
        <w:rPr>
          <w:sz w:val="22"/>
          <w:szCs w:val="22"/>
        </w:rPr>
        <w:t xml:space="preserve"> Judge Frimpong’s webpage can be found at </w:t>
      </w:r>
      <w:hyperlink r:id="rId1" w:history="1">
        <w:r w:rsidR="000A75CC" w:rsidRPr="00C406BB">
          <w:rPr>
            <w:rStyle w:val="Hyperlink"/>
            <w:sz w:val="22"/>
            <w:szCs w:val="22"/>
          </w:rPr>
          <w:t>https://www.cacd.uscourts.gov/honorable-maame-ewusi-mensah-frimpong</w:t>
        </w:r>
      </w:hyperlink>
      <w:r w:rsidR="000A75CC">
        <w:rPr>
          <w:sz w:val="22"/>
          <w:szCs w:val="22"/>
        </w:rPr>
        <w:t>.</w:t>
      </w:r>
    </w:p>
  </w:footnote>
  <w:footnote w:id="3">
    <w:p w14:paraId="66B1C726" w14:textId="7CB188D4" w:rsidR="006519D1" w:rsidRPr="00D261BA" w:rsidRDefault="006519D1" w:rsidP="00A33CEC">
      <w:pPr>
        <w:pStyle w:val="FootnoteText"/>
        <w:spacing w:after="0"/>
        <w:rPr>
          <w:sz w:val="22"/>
          <w:szCs w:val="22"/>
        </w:rPr>
      </w:pPr>
      <w:r w:rsidRPr="00D261BA">
        <w:rPr>
          <w:rStyle w:val="FootnoteReference"/>
          <w:sz w:val="22"/>
          <w:szCs w:val="22"/>
        </w:rPr>
        <w:footnoteRef/>
      </w:r>
      <w:r w:rsidRPr="00D261BA">
        <w:rPr>
          <w:sz w:val="22"/>
          <w:szCs w:val="22"/>
        </w:rPr>
        <w:t xml:space="preserve">   This Court does not exempt parties appearing pro se</w:t>
      </w:r>
      <w:r w:rsidR="005129C6" w:rsidRPr="00D261BA">
        <w:rPr>
          <w:sz w:val="22"/>
          <w:szCs w:val="22"/>
        </w:rPr>
        <w:t>—that is, parties who are not represented by an attorney—</w:t>
      </w:r>
      <w:r w:rsidRPr="00D261BA">
        <w:rPr>
          <w:sz w:val="22"/>
          <w:szCs w:val="22"/>
        </w:rPr>
        <w:t xml:space="preserve">from compliance with the Federal Rules of Civil Procedure or the Local Rules. </w:t>
      </w:r>
      <w:r w:rsidRPr="00D261BA">
        <w:rPr>
          <w:i/>
          <w:sz w:val="22"/>
          <w:szCs w:val="22"/>
        </w:rPr>
        <w:t>See</w:t>
      </w:r>
      <w:r w:rsidRPr="00D261BA">
        <w:rPr>
          <w:sz w:val="22"/>
          <w:szCs w:val="22"/>
        </w:rPr>
        <w:t xml:space="preserve"> Local Rules 1-3 and 83-2.2.3.  </w:t>
      </w:r>
    </w:p>
  </w:footnote>
  <w:footnote w:id="4">
    <w:p w14:paraId="17E6392F" w14:textId="081FA663" w:rsidR="008E1B7B" w:rsidRPr="00D261BA" w:rsidRDefault="008E1B7B" w:rsidP="008E1B7B">
      <w:pPr>
        <w:pStyle w:val="FootnoteText"/>
        <w:spacing w:after="0"/>
        <w:rPr>
          <w:sz w:val="22"/>
          <w:szCs w:val="22"/>
        </w:rPr>
      </w:pPr>
      <w:r w:rsidRPr="00D261BA">
        <w:rPr>
          <w:rStyle w:val="FootnoteReference"/>
          <w:sz w:val="22"/>
          <w:szCs w:val="22"/>
        </w:rPr>
        <w:footnoteRef/>
      </w:r>
      <w:r w:rsidRPr="00D261BA">
        <w:rPr>
          <w:sz w:val="22"/>
          <w:szCs w:val="22"/>
        </w:rPr>
        <w:t xml:space="preserve"> Judge Frimpong’s webpage can be found at </w:t>
      </w:r>
      <w:hyperlink r:id="rId2" w:history="1">
        <w:r w:rsidR="00B852E9" w:rsidRPr="00985504">
          <w:rPr>
            <w:rStyle w:val="Hyperlink"/>
            <w:sz w:val="22"/>
            <w:szCs w:val="22"/>
          </w:rPr>
          <w:t>https://www.cacd.uscourts.gov/honorable-maame-ewusi-mensah-frimpong</w:t>
        </w:r>
      </w:hyperlink>
      <w:r w:rsidR="00B852E9">
        <w:rPr>
          <w:sz w:val="22"/>
          <w:szCs w:val="22"/>
        </w:rPr>
        <w:t xml:space="preserve">. </w:t>
      </w:r>
    </w:p>
  </w:footnote>
  <w:footnote w:id="5">
    <w:p w14:paraId="545A167D" w14:textId="0D06A8F6" w:rsidR="00DB0E69" w:rsidRPr="00BD2B93" w:rsidRDefault="00DB0E69">
      <w:pPr>
        <w:pStyle w:val="FootnoteText"/>
        <w:rPr>
          <w:sz w:val="22"/>
          <w:szCs w:val="22"/>
        </w:rPr>
      </w:pPr>
      <w:r w:rsidRPr="00BD2B93">
        <w:rPr>
          <w:rStyle w:val="FootnoteReference"/>
          <w:sz w:val="22"/>
          <w:szCs w:val="22"/>
        </w:rPr>
        <w:footnoteRef/>
      </w:r>
      <w:r w:rsidRPr="00BD2B93">
        <w:rPr>
          <w:sz w:val="22"/>
          <w:szCs w:val="22"/>
        </w:rPr>
        <w:t xml:space="preserve"> While all hearings are set for </w:t>
      </w:r>
      <w:r w:rsidR="00A310C7" w:rsidRPr="00BD2B93">
        <w:rPr>
          <w:sz w:val="22"/>
          <w:szCs w:val="22"/>
        </w:rPr>
        <w:t xml:space="preserve">Thursdays </w:t>
      </w:r>
      <w:r w:rsidR="00BD2B93">
        <w:rPr>
          <w:sz w:val="22"/>
          <w:szCs w:val="22"/>
        </w:rPr>
        <w:t xml:space="preserve">initially </w:t>
      </w:r>
      <w:r w:rsidR="00A310C7" w:rsidRPr="00BD2B93">
        <w:rPr>
          <w:sz w:val="22"/>
          <w:szCs w:val="22"/>
        </w:rPr>
        <w:t>at 10:00 a.m.</w:t>
      </w:r>
      <w:r w:rsidR="00A84BD7" w:rsidRPr="00BD2B93">
        <w:rPr>
          <w:sz w:val="22"/>
          <w:szCs w:val="22"/>
        </w:rPr>
        <w:t xml:space="preserve">, the Court will assign </w:t>
      </w:r>
      <w:r w:rsidR="00BD2B93" w:rsidRPr="00BD2B93">
        <w:rPr>
          <w:sz w:val="22"/>
          <w:szCs w:val="22"/>
        </w:rPr>
        <w:t xml:space="preserve">specific hearing times prior to the Thursday of the hearing. </w:t>
      </w:r>
    </w:p>
  </w:footnote>
  <w:footnote w:id="6">
    <w:p w14:paraId="43A801D4" w14:textId="037D57FF" w:rsidR="002A0DA5" w:rsidRPr="00D261BA" w:rsidRDefault="002A0DA5" w:rsidP="002A0DA5">
      <w:pPr>
        <w:pStyle w:val="FootnoteText"/>
        <w:spacing w:after="0"/>
        <w:rPr>
          <w:sz w:val="22"/>
          <w:szCs w:val="22"/>
        </w:rPr>
      </w:pPr>
      <w:r w:rsidRPr="00D261BA">
        <w:rPr>
          <w:rStyle w:val="FootnoteReference"/>
          <w:sz w:val="22"/>
          <w:szCs w:val="22"/>
        </w:rPr>
        <w:footnoteRef/>
      </w:r>
      <w:r w:rsidRPr="00D261BA">
        <w:rPr>
          <w:sz w:val="22"/>
          <w:szCs w:val="22"/>
        </w:rPr>
        <w:t xml:space="preserve"> Judge Frimpong’s webpage can be found at </w:t>
      </w:r>
      <w:hyperlink r:id="rId3" w:history="1">
        <w:r w:rsidR="00A96F43" w:rsidRPr="00985504">
          <w:rPr>
            <w:rStyle w:val="Hyperlink"/>
            <w:sz w:val="22"/>
            <w:szCs w:val="22"/>
          </w:rPr>
          <w:t>https://www.cacd.uscourts.gov/honorable-maame-ewusi-mensah-frimpong</w:t>
        </w:r>
      </w:hyperlink>
      <w:r w:rsidR="00A96F43">
        <w:rPr>
          <w:sz w:val="22"/>
          <w:szCs w:val="22"/>
        </w:rPr>
        <w:t>.</w:t>
      </w:r>
    </w:p>
  </w:footnote>
  <w:footnote w:id="7">
    <w:p w14:paraId="04E8E62E" w14:textId="79D874D5" w:rsidR="00B25AFA" w:rsidRPr="00B25AFA" w:rsidRDefault="00B25AFA">
      <w:pPr>
        <w:pStyle w:val="FootnoteText"/>
        <w:rPr>
          <w:sz w:val="22"/>
          <w:szCs w:val="22"/>
        </w:rPr>
      </w:pPr>
      <w:r w:rsidRPr="00B25AFA">
        <w:rPr>
          <w:rStyle w:val="FootnoteReference"/>
          <w:sz w:val="22"/>
          <w:szCs w:val="22"/>
        </w:rPr>
        <w:footnoteRef/>
      </w:r>
      <w:r w:rsidRPr="00B25AFA">
        <w:rPr>
          <w:sz w:val="22"/>
          <w:szCs w:val="22"/>
        </w:rPr>
        <w:t xml:space="preserve"> </w:t>
      </w:r>
      <w:r w:rsidRPr="00B25AFA">
        <w:rPr>
          <w:i/>
          <w:iCs/>
          <w:sz w:val="22"/>
          <w:szCs w:val="22"/>
        </w:rPr>
        <w:t xml:space="preserve">Hensley v. </w:t>
      </w:r>
      <w:proofErr w:type="spellStart"/>
      <w:r w:rsidRPr="00B25AFA">
        <w:rPr>
          <w:i/>
          <w:iCs/>
          <w:sz w:val="22"/>
          <w:szCs w:val="22"/>
        </w:rPr>
        <w:t>Eckerhart</w:t>
      </w:r>
      <w:proofErr w:type="spellEnd"/>
      <w:r w:rsidRPr="00B25AFA">
        <w:rPr>
          <w:sz w:val="22"/>
          <w:szCs w:val="22"/>
        </w:rPr>
        <w:t>, 461 U.S. 424, 437 (1983).</w:t>
      </w:r>
    </w:p>
  </w:footnote>
  <w:footnote w:id="8">
    <w:p w14:paraId="10347961" w14:textId="00C9F971" w:rsidR="006519D1" w:rsidRPr="00D261BA" w:rsidRDefault="006519D1" w:rsidP="00A33CEC">
      <w:pPr>
        <w:pStyle w:val="FootnoteText"/>
        <w:spacing w:after="0"/>
        <w:rPr>
          <w:sz w:val="22"/>
          <w:szCs w:val="22"/>
        </w:rPr>
      </w:pPr>
      <w:r w:rsidRPr="00D261BA">
        <w:rPr>
          <w:rStyle w:val="FootnoteReference"/>
          <w:sz w:val="22"/>
          <w:szCs w:val="22"/>
        </w:rPr>
        <w:footnoteRef/>
      </w:r>
      <w:r w:rsidRPr="00D261BA">
        <w:rPr>
          <w:sz w:val="22"/>
          <w:szCs w:val="22"/>
        </w:rPr>
        <w:t xml:space="preserve"> Judge Frimpong’s webpage can be found at </w:t>
      </w:r>
      <w:hyperlink r:id="rId4" w:history="1">
        <w:r w:rsidR="00A96F43" w:rsidRPr="00985504">
          <w:rPr>
            <w:rStyle w:val="Hyperlink"/>
            <w:sz w:val="22"/>
            <w:szCs w:val="22"/>
          </w:rPr>
          <w:t>https://www.cacd.uscourts.gov/honorable-maame-ewusi-mensah-frimpong</w:t>
        </w:r>
      </w:hyperlink>
      <w:r w:rsidR="00A96F43">
        <w:rPr>
          <w:sz w:val="22"/>
          <w:szCs w:val="22"/>
        </w:rPr>
        <w:t xml:space="preserve">. </w:t>
      </w:r>
    </w:p>
  </w:footnote>
  <w:footnote w:id="9">
    <w:p w14:paraId="48212EA4" w14:textId="3C1FECAE" w:rsidR="006519D1" w:rsidRPr="00D261BA" w:rsidRDefault="006519D1" w:rsidP="00A33CEC">
      <w:pPr>
        <w:pStyle w:val="FootnoteText"/>
        <w:spacing w:after="0"/>
        <w:rPr>
          <w:sz w:val="22"/>
          <w:szCs w:val="22"/>
        </w:rPr>
      </w:pPr>
      <w:r w:rsidRPr="00D261BA">
        <w:rPr>
          <w:rStyle w:val="FootnoteReference"/>
          <w:sz w:val="22"/>
          <w:szCs w:val="22"/>
        </w:rPr>
        <w:footnoteRef/>
      </w:r>
      <w:r w:rsidRPr="00D261BA">
        <w:rPr>
          <w:sz w:val="22"/>
          <w:szCs w:val="22"/>
        </w:rPr>
        <w:t xml:space="preserve"> For more detailed guidance, counsel are advised to refer to the Central District of California’s Civility and Professionalism Guidelines, which can be found at </w:t>
      </w:r>
      <w:hyperlink r:id="rId5" w:history="1">
        <w:r w:rsidR="00A96F43" w:rsidRPr="00985504">
          <w:rPr>
            <w:rStyle w:val="Hyperlink"/>
            <w:sz w:val="22"/>
            <w:szCs w:val="22"/>
          </w:rPr>
          <w:t>http://www.cacd.uscourts.gov/attorneys/admissions/civility-and-professionalism-guidelines</w:t>
        </w:r>
      </w:hyperlink>
      <w:r w:rsidR="00A96F43">
        <w:rPr>
          <w:sz w:val="22"/>
          <w:szCs w:val="22"/>
        </w:rPr>
        <w:t>.</w:t>
      </w:r>
      <w:r w:rsidRPr="00D261BA">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10008"/>
    </w:tblGrid>
    <w:tr w:rsidR="00604E78" w14:paraId="1EFAD19D" w14:textId="77777777">
      <w:trPr>
        <w:trHeight w:hRule="exact" w:val="14880"/>
      </w:trPr>
      <w:tc>
        <w:tcPr>
          <w:tcW w:w="630" w:type="dxa"/>
        </w:tcPr>
        <w:p w14:paraId="69B58C92" w14:textId="3ACF8D8E" w:rsidR="00604E78" w:rsidRDefault="00604E78" w:rsidP="001C5C99">
          <w:pPr>
            <w:pStyle w:val="HeaderNumbers"/>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10008" w:type="dxa"/>
        </w:tcPr>
        <w:p w14:paraId="74DEB60C" w14:textId="77777777" w:rsidR="00604E78" w:rsidRDefault="00604E78" w:rsidP="001C5C99"/>
      </w:tc>
    </w:tr>
  </w:tbl>
  <w:p w14:paraId="17483334" w14:textId="77777777" w:rsidR="00604E78" w:rsidRDefault="00604E78" w:rsidP="001C5C99">
    <w:pPr>
      <w:pStyle w:val="Header"/>
    </w:pPr>
    <w:r>
      <w:rPr>
        <w:noProof/>
      </w:rPr>
      <mc:AlternateContent>
        <mc:Choice Requires="wps">
          <w:drawing>
            <wp:anchor distT="0" distB="0" distL="114300" distR="114300" simplePos="0" relativeHeight="251658240" behindDoc="1" locked="1" layoutInCell="0" allowOverlap="1" wp14:anchorId="60EE38CA" wp14:editId="2E058336">
              <wp:simplePos x="0" y="0"/>
              <wp:positionH relativeFrom="page">
                <wp:posOffset>80010</wp:posOffset>
              </wp:positionH>
              <wp:positionV relativeFrom="page">
                <wp:posOffset>9308465</wp:posOffset>
              </wp:positionV>
              <wp:extent cx="789940" cy="562610"/>
              <wp:effectExtent l="3810" t="254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C960F" w14:textId="77777777" w:rsidR="00604E78" w:rsidRDefault="00604E78" w:rsidP="001C5C99">
                          <w:pPr>
                            <w:pStyle w:val="Firm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E38CA" id="_x0000_t202" coordsize="21600,21600" o:spt="202" path="m,l,21600r21600,l21600,xe">
              <v:stroke joinstyle="miter"/>
              <v:path gradientshapeok="t" o:connecttype="rect"/>
            </v:shapetype>
            <v:shape id="Text Box 7" o:spid="_x0000_s1026" type="#_x0000_t202" style="position:absolute;margin-left:6.3pt;margin-top:732.95pt;width:62.2pt;height:4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" o:allowincell="f" filled="f" stroked="f">
              <v:textbox inset="0,0,0,0">
                <w:txbxContent>
                  <w:p w14:paraId="3E1C960F" w14:textId="77777777" w:rsidR="00604E78" w:rsidRDefault="00604E78" w:rsidP="001C5C99">
                    <w:pPr>
                      <w:pStyle w:val="FirmName"/>
                    </w:pPr>
                  </w:p>
                </w:txbxContent>
              </v:textbox>
              <w10:wrap anchorx="page" anchory="page"/>
              <w10:anchorlock/>
            </v:shape>
          </w:pict>
        </mc:Fallback>
      </mc:AlternateContent>
    </w:r>
  </w:p>
  <w:p w14:paraId="47E10A16" w14:textId="77777777" w:rsidR="00604E78" w:rsidRDefault="00604E78" w:rsidP="001C5C99"/>
  <w:p w14:paraId="1F4CD0AD" w14:textId="77777777" w:rsidR="00604E78" w:rsidRDefault="00604E78" w:rsidP="001C5C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F053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EA23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8E8C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2451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78A9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C6E7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C00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10BC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8D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5ADB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708"/>
    <w:multiLevelType w:val="hybridMultilevel"/>
    <w:tmpl w:val="6896D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372186"/>
    <w:multiLevelType w:val="hybridMultilevel"/>
    <w:tmpl w:val="7520E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84145D"/>
    <w:multiLevelType w:val="hybridMultilevel"/>
    <w:tmpl w:val="5914A984"/>
    <w:lvl w:ilvl="0" w:tplc="A6EADB86">
      <w:start w:val="1"/>
      <w:numFmt w:val="upperRoman"/>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15:restartNumberingAfterBreak="0">
    <w:nsid w:val="062B4DDC"/>
    <w:multiLevelType w:val="hybridMultilevel"/>
    <w:tmpl w:val="A1466956"/>
    <w:lvl w:ilvl="0" w:tplc="3AB0F044">
      <w:start w:val="1"/>
      <w:numFmt w:val="lowerLetter"/>
      <w:lvlText w:val="%1."/>
      <w:lvlJc w:val="left"/>
      <w:pPr>
        <w:ind w:left="720" w:hanging="360"/>
      </w:pPr>
      <w:rPr>
        <w:rFonts w:hint="default"/>
        <w:u w:val="none"/>
      </w:rPr>
    </w:lvl>
    <w:lvl w:ilvl="1" w:tplc="1E587E38">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E6B31"/>
    <w:multiLevelType w:val="hybridMultilevel"/>
    <w:tmpl w:val="EE6AE57A"/>
    <w:lvl w:ilvl="0" w:tplc="A3045108">
      <w:start w:val="9"/>
      <w:numFmt w:val="lowerLetter"/>
      <w:lvlText w:val="%1."/>
      <w:lvlJc w:val="left"/>
      <w:pPr>
        <w:ind w:left="21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14EB3B96"/>
    <w:multiLevelType w:val="hybridMultilevel"/>
    <w:tmpl w:val="72E63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2D4628"/>
    <w:multiLevelType w:val="hybridMultilevel"/>
    <w:tmpl w:val="6D0013F2"/>
    <w:lvl w:ilvl="0" w:tplc="04090013">
      <w:start w:val="1"/>
      <w:numFmt w:val="upperRoman"/>
      <w:lvlText w:val="%1."/>
      <w:lvlJc w:val="right"/>
      <w:pPr>
        <w:ind w:left="2880" w:hanging="18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4273770"/>
    <w:multiLevelType w:val="hybridMultilevel"/>
    <w:tmpl w:val="F0581592"/>
    <w:lvl w:ilvl="0" w:tplc="362EE97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D1B60"/>
    <w:multiLevelType w:val="hybridMultilevel"/>
    <w:tmpl w:val="275C61F8"/>
    <w:lvl w:ilvl="0" w:tplc="7592F3DE">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55F71CD"/>
    <w:multiLevelType w:val="hybridMultilevel"/>
    <w:tmpl w:val="2902B5F8"/>
    <w:lvl w:ilvl="0" w:tplc="60D06078">
      <w:start w:val="1"/>
      <w:numFmt w:val="upperLetter"/>
      <w:pStyle w:val="Heading3"/>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 w15:restartNumberingAfterBreak="0">
    <w:nsid w:val="29B4074B"/>
    <w:multiLevelType w:val="hybridMultilevel"/>
    <w:tmpl w:val="FE1E501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2CCB2C00"/>
    <w:multiLevelType w:val="hybridMultilevel"/>
    <w:tmpl w:val="A69642D2"/>
    <w:lvl w:ilvl="0" w:tplc="00AABA36">
      <w:start w:val="1"/>
      <w:numFmt w:val="upp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2" w15:restartNumberingAfterBreak="0">
    <w:nsid w:val="3AE40499"/>
    <w:multiLevelType w:val="hybridMultilevel"/>
    <w:tmpl w:val="5CEAD7D0"/>
    <w:lvl w:ilvl="0" w:tplc="C15676F0">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724815"/>
    <w:multiLevelType w:val="hybridMultilevel"/>
    <w:tmpl w:val="10CA938C"/>
    <w:lvl w:ilvl="0" w:tplc="CB10CF54">
      <w:start w:val="1"/>
      <w:numFmt w:val="decimal"/>
      <w:lvlText w:val="%1."/>
      <w:lvlJc w:val="lef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25709"/>
    <w:multiLevelType w:val="hybridMultilevel"/>
    <w:tmpl w:val="7614562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4F594E41"/>
    <w:multiLevelType w:val="hybridMultilevel"/>
    <w:tmpl w:val="1C544CDE"/>
    <w:lvl w:ilvl="0" w:tplc="34CE236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F25D5"/>
    <w:multiLevelType w:val="hybridMultilevel"/>
    <w:tmpl w:val="27BE2EB0"/>
    <w:lvl w:ilvl="0" w:tplc="84E82108">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C3AEC"/>
    <w:multiLevelType w:val="hybridMultilevel"/>
    <w:tmpl w:val="722C8FB8"/>
    <w:lvl w:ilvl="0" w:tplc="A3045108">
      <w:start w:val="9"/>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1EB7130"/>
    <w:multiLevelType w:val="hybridMultilevel"/>
    <w:tmpl w:val="479EE9E8"/>
    <w:lvl w:ilvl="0" w:tplc="E5F8F56C">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F7F73"/>
    <w:multiLevelType w:val="hybridMultilevel"/>
    <w:tmpl w:val="AB3807B2"/>
    <w:lvl w:ilvl="0" w:tplc="A4AE1B54">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B6BEA"/>
    <w:multiLevelType w:val="hybridMultilevel"/>
    <w:tmpl w:val="8EC23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FF0A2D"/>
    <w:multiLevelType w:val="hybridMultilevel"/>
    <w:tmpl w:val="8A5C9176"/>
    <w:lvl w:ilvl="0" w:tplc="3E5A7062">
      <w:start w:val="1"/>
      <w:numFmt w:val="upperRoman"/>
      <w:lvlText w:val="%1."/>
      <w:lvlJc w:val="right"/>
      <w:pPr>
        <w:ind w:left="720" w:hanging="360"/>
      </w:pPr>
      <w:rPr>
        <w:rFonts w:hint="default"/>
        <w:b/>
        <w:bCs/>
      </w:rPr>
    </w:lvl>
    <w:lvl w:ilvl="1" w:tplc="32B0D62C">
      <w:start w:val="1"/>
      <w:numFmt w:val="upperLetter"/>
      <w:lvlText w:val="%2."/>
      <w:lvlJc w:val="left"/>
      <w:pPr>
        <w:ind w:left="1440" w:hanging="360"/>
      </w:pPr>
      <w:rPr>
        <w:b/>
        <w:bCs/>
      </w:rPr>
    </w:lvl>
    <w:lvl w:ilvl="2" w:tplc="CB10CF54">
      <w:start w:val="1"/>
      <w:numFmt w:val="decimal"/>
      <w:lvlText w:val="%3."/>
      <w:lvlJc w:val="lef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37529"/>
    <w:multiLevelType w:val="hybridMultilevel"/>
    <w:tmpl w:val="FBAEF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6F59A4"/>
    <w:multiLevelType w:val="hybridMultilevel"/>
    <w:tmpl w:val="5D948688"/>
    <w:lvl w:ilvl="0" w:tplc="AF5017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B6C64"/>
    <w:multiLevelType w:val="hybridMultilevel"/>
    <w:tmpl w:val="8E666B40"/>
    <w:lvl w:ilvl="0" w:tplc="E458ADE4">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A9476DB"/>
    <w:multiLevelType w:val="hybridMultilevel"/>
    <w:tmpl w:val="FF867BB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B8B70A1"/>
    <w:multiLevelType w:val="hybridMultilevel"/>
    <w:tmpl w:val="B0F40D3C"/>
    <w:lvl w:ilvl="0" w:tplc="A3045108">
      <w:start w:val="9"/>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C5C5099"/>
    <w:multiLevelType w:val="hybridMultilevel"/>
    <w:tmpl w:val="B23C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2327F"/>
    <w:multiLevelType w:val="hybridMultilevel"/>
    <w:tmpl w:val="26887DEE"/>
    <w:lvl w:ilvl="0" w:tplc="5AB0A4F8">
      <w:start w:val="1"/>
      <w:numFmt w:val="decimal"/>
      <w:pStyle w:val="Heading4"/>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120F50A">
      <w:start w:val="1"/>
      <w:numFmt w:val="lowerLetter"/>
      <w:pStyle w:val="Heading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576363">
    <w:abstractNumId w:val="9"/>
  </w:num>
  <w:num w:numId="2" w16cid:durableId="1989704942">
    <w:abstractNumId w:val="7"/>
  </w:num>
  <w:num w:numId="3" w16cid:durableId="1834369004">
    <w:abstractNumId w:val="6"/>
  </w:num>
  <w:num w:numId="4" w16cid:durableId="1983078642">
    <w:abstractNumId w:val="5"/>
  </w:num>
  <w:num w:numId="5" w16cid:durableId="1866557307">
    <w:abstractNumId w:val="4"/>
  </w:num>
  <w:num w:numId="6" w16cid:durableId="36321254">
    <w:abstractNumId w:val="8"/>
  </w:num>
  <w:num w:numId="7" w16cid:durableId="1109813578">
    <w:abstractNumId w:val="3"/>
  </w:num>
  <w:num w:numId="8" w16cid:durableId="1160731572">
    <w:abstractNumId w:val="2"/>
  </w:num>
  <w:num w:numId="9" w16cid:durableId="1845438190">
    <w:abstractNumId w:val="1"/>
  </w:num>
  <w:num w:numId="10" w16cid:durableId="531768986">
    <w:abstractNumId w:val="0"/>
  </w:num>
  <w:num w:numId="11" w16cid:durableId="20202851">
    <w:abstractNumId w:val="22"/>
  </w:num>
  <w:num w:numId="12" w16cid:durableId="1702389688">
    <w:abstractNumId w:val="13"/>
  </w:num>
  <w:num w:numId="13" w16cid:durableId="1378890084">
    <w:abstractNumId w:val="26"/>
  </w:num>
  <w:num w:numId="14" w16cid:durableId="1633898444">
    <w:abstractNumId w:val="29"/>
  </w:num>
  <w:num w:numId="15" w16cid:durableId="931284962">
    <w:abstractNumId w:val="28"/>
  </w:num>
  <w:num w:numId="16" w16cid:durableId="640619442">
    <w:abstractNumId w:val="33"/>
  </w:num>
  <w:num w:numId="17" w16cid:durableId="2105226340">
    <w:abstractNumId w:val="17"/>
  </w:num>
  <w:num w:numId="18" w16cid:durableId="1326982129">
    <w:abstractNumId w:val="12"/>
  </w:num>
  <w:num w:numId="19" w16cid:durableId="1573393773">
    <w:abstractNumId w:val="21"/>
  </w:num>
  <w:num w:numId="20" w16cid:durableId="91509958">
    <w:abstractNumId w:val="19"/>
  </w:num>
  <w:num w:numId="21" w16cid:durableId="867257761">
    <w:abstractNumId w:val="34"/>
  </w:num>
  <w:num w:numId="22" w16cid:durableId="837959639">
    <w:abstractNumId w:val="25"/>
  </w:num>
  <w:num w:numId="23" w16cid:durableId="1924796773">
    <w:abstractNumId w:val="18"/>
  </w:num>
  <w:num w:numId="24" w16cid:durableId="1352490028">
    <w:abstractNumId w:val="38"/>
  </w:num>
  <w:num w:numId="25" w16cid:durableId="1845894587">
    <w:abstractNumId w:val="11"/>
  </w:num>
  <w:num w:numId="26" w16cid:durableId="275983740">
    <w:abstractNumId w:val="31"/>
  </w:num>
  <w:num w:numId="27" w16cid:durableId="417212439">
    <w:abstractNumId w:val="15"/>
  </w:num>
  <w:num w:numId="28" w16cid:durableId="884682728">
    <w:abstractNumId w:val="10"/>
  </w:num>
  <w:num w:numId="29" w16cid:durableId="190344027">
    <w:abstractNumId w:val="32"/>
  </w:num>
  <w:num w:numId="30" w16cid:durableId="912085953">
    <w:abstractNumId w:val="35"/>
  </w:num>
  <w:num w:numId="31" w16cid:durableId="315307385">
    <w:abstractNumId w:val="27"/>
  </w:num>
  <w:num w:numId="32" w16cid:durableId="1476528250">
    <w:abstractNumId w:val="36"/>
  </w:num>
  <w:num w:numId="33" w16cid:durableId="769203080">
    <w:abstractNumId w:val="14"/>
  </w:num>
  <w:num w:numId="34" w16cid:durableId="790519588">
    <w:abstractNumId w:val="16"/>
  </w:num>
  <w:num w:numId="35" w16cid:durableId="1234780569">
    <w:abstractNumId w:val="37"/>
  </w:num>
  <w:num w:numId="36" w16cid:durableId="1051078884">
    <w:abstractNumId w:val="24"/>
  </w:num>
  <w:num w:numId="37" w16cid:durableId="625045919">
    <w:abstractNumId w:val="20"/>
  </w:num>
  <w:num w:numId="38" w16cid:durableId="1514414789">
    <w:abstractNumId w:val="30"/>
  </w:num>
  <w:num w:numId="39" w16cid:durableId="9737534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5B"/>
    <w:rsid w:val="00001F73"/>
    <w:rsid w:val="000104B4"/>
    <w:rsid w:val="00011067"/>
    <w:rsid w:val="000370B8"/>
    <w:rsid w:val="000409A9"/>
    <w:rsid w:val="000428B8"/>
    <w:rsid w:val="0005561F"/>
    <w:rsid w:val="00057FD5"/>
    <w:rsid w:val="000731D1"/>
    <w:rsid w:val="00083FE3"/>
    <w:rsid w:val="000840A4"/>
    <w:rsid w:val="00086338"/>
    <w:rsid w:val="00093890"/>
    <w:rsid w:val="00094140"/>
    <w:rsid w:val="000A02D1"/>
    <w:rsid w:val="000A1C0E"/>
    <w:rsid w:val="000A3F9A"/>
    <w:rsid w:val="000A4209"/>
    <w:rsid w:val="000A5D16"/>
    <w:rsid w:val="000A75CC"/>
    <w:rsid w:val="000B1ED5"/>
    <w:rsid w:val="000B277B"/>
    <w:rsid w:val="000B6C5A"/>
    <w:rsid w:val="000C22E1"/>
    <w:rsid w:val="000C5BE2"/>
    <w:rsid w:val="000D1B3B"/>
    <w:rsid w:val="000D50E4"/>
    <w:rsid w:val="000D55EB"/>
    <w:rsid w:val="000D56BB"/>
    <w:rsid w:val="000E0552"/>
    <w:rsid w:val="000E552E"/>
    <w:rsid w:val="000E5F41"/>
    <w:rsid w:val="000F1321"/>
    <w:rsid w:val="0011241D"/>
    <w:rsid w:val="001138BD"/>
    <w:rsid w:val="00117995"/>
    <w:rsid w:val="00124D4C"/>
    <w:rsid w:val="00130FFF"/>
    <w:rsid w:val="00131FE8"/>
    <w:rsid w:val="00132865"/>
    <w:rsid w:val="0013541E"/>
    <w:rsid w:val="001516A3"/>
    <w:rsid w:val="001519CB"/>
    <w:rsid w:val="00153A8C"/>
    <w:rsid w:val="00153FDE"/>
    <w:rsid w:val="00154B8F"/>
    <w:rsid w:val="00165BB7"/>
    <w:rsid w:val="00165C30"/>
    <w:rsid w:val="001669F7"/>
    <w:rsid w:val="00171703"/>
    <w:rsid w:val="00172B19"/>
    <w:rsid w:val="00174B66"/>
    <w:rsid w:val="00180AAF"/>
    <w:rsid w:val="00181062"/>
    <w:rsid w:val="0018623F"/>
    <w:rsid w:val="00192F39"/>
    <w:rsid w:val="00195345"/>
    <w:rsid w:val="001962B5"/>
    <w:rsid w:val="001B0EE3"/>
    <w:rsid w:val="001B559A"/>
    <w:rsid w:val="001B5A43"/>
    <w:rsid w:val="001C0DC7"/>
    <w:rsid w:val="001C18DF"/>
    <w:rsid w:val="001C5C99"/>
    <w:rsid w:val="001C6A4D"/>
    <w:rsid w:val="001D1B15"/>
    <w:rsid w:val="001D29FC"/>
    <w:rsid w:val="001D4B1C"/>
    <w:rsid w:val="001D62EE"/>
    <w:rsid w:val="001E027C"/>
    <w:rsid w:val="001E1C19"/>
    <w:rsid w:val="001E6451"/>
    <w:rsid w:val="001F75BB"/>
    <w:rsid w:val="001F7878"/>
    <w:rsid w:val="00200962"/>
    <w:rsid w:val="00211D2A"/>
    <w:rsid w:val="0021244D"/>
    <w:rsid w:val="002158D8"/>
    <w:rsid w:val="0022330F"/>
    <w:rsid w:val="0022340C"/>
    <w:rsid w:val="00227E27"/>
    <w:rsid w:val="002306CF"/>
    <w:rsid w:val="0023254C"/>
    <w:rsid w:val="002332D7"/>
    <w:rsid w:val="00234501"/>
    <w:rsid w:val="0023637C"/>
    <w:rsid w:val="002403F5"/>
    <w:rsid w:val="0024098C"/>
    <w:rsid w:val="00245B2A"/>
    <w:rsid w:val="00245B6B"/>
    <w:rsid w:val="00250669"/>
    <w:rsid w:val="00254342"/>
    <w:rsid w:val="002543C7"/>
    <w:rsid w:val="00254F92"/>
    <w:rsid w:val="00255875"/>
    <w:rsid w:val="00256241"/>
    <w:rsid w:val="00256848"/>
    <w:rsid w:val="00257F58"/>
    <w:rsid w:val="00260A25"/>
    <w:rsid w:val="002610F4"/>
    <w:rsid w:val="00264526"/>
    <w:rsid w:val="002659FD"/>
    <w:rsid w:val="00271762"/>
    <w:rsid w:val="00277029"/>
    <w:rsid w:val="002772B5"/>
    <w:rsid w:val="002774CF"/>
    <w:rsid w:val="00290B0D"/>
    <w:rsid w:val="00291967"/>
    <w:rsid w:val="00296284"/>
    <w:rsid w:val="002A0DA5"/>
    <w:rsid w:val="002A2117"/>
    <w:rsid w:val="002A50BA"/>
    <w:rsid w:val="002B56C4"/>
    <w:rsid w:val="002C149F"/>
    <w:rsid w:val="002C28DA"/>
    <w:rsid w:val="002C37DF"/>
    <w:rsid w:val="002C7448"/>
    <w:rsid w:val="002D1D78"/>
    <w:rsid w:val="002D2387"/>
    <w:rsid w:val="002E28B0"/>
    <w:rsid w:val="002E3C0A"/>
    <w:rsid w:val="002E4979"/>
    <w:rsid w:val="002E4BDB"/>
    <w:rsid w:val="002E5878"/>
    <w:rsid w:val="002E5DA2"/>
    <w:rsid w:val="002E6247"/>
    <w:rsid w:val="002E785A"/>
    <w:rsid w:val="002F68A2"/>
    <w:rsid w:val="0031644F"/>
    <w:rsid w:val="00320A41"/>
    <w:rsid w:val="003213D6"/>
    <w:rsid w:val="00322920"/>
    <w:rsid w:val="00324EF2"/>
    <w:rsid w:val="003271B6"/>
    <w:rsid w:val="003302C7"/>
    <w:rsid w:val="0033065E"/>
    <w:rsid w:val="00333465"/>
    <w:rsid w:val="00335CF0"/>
    <w:rsid w:val="00340100"/>
    <w:rsid w:val="0034094D"/>
    <w:rsid w:val="00341252"/>
    <w:rsid w:val="003460AF"/>
    <w:rsid w:val="00351F08"/>
    <w:rsid w:val="00356400"/>
    <w:rsid w:val="003604E9"/>
    <w:rsid w:val="00360D26"/>
    <w:rsid w:val="00371266"/>
    <w:rsid w:val="003715A0"/>
    <w:rsid w:val="00374DDE"/>
    <w:rsid w:val="00375D08"/>
    <w:rsid w:val="003774F4"/>
    <w:rsid w:val="00384FD0"/>
    <w:rsid w:val="003860B1"/>
    <w:rsid w:val="0038737E"/>
    <w:rsid w:val="00396944"/>
    <w:rsid w:val="00396C3B"/>
    <w:rsid w:val="00397173"/>
    <w:rsid w:val="0039799D"/>
    <w:rsid w:val="003A2110"/>
    <w:rsid w:val="003A2162"/>
    <w:rsid w:val="003A4244"/>
    <w:rsid w:val="003A65EA"/>
    <w:rsid w:val="003A6648"/>
    <w:rsid w:val="003B5287"/>
    <w:rsid w:val="003C1563"/>
    <w:rsid w:val="003C52DF"/>
    <w:rsid w:val="003D4227"/>
    <w:rsid w:val="003D6DE2"/>
    <w:rsid w:val="003D6FB8"/>
    <w:rsid w:val="003E0360"/>
    <w:rsid w:val="003E0679"/>
    <w:rsid w:val="003E4683"/>
    <w:rsid w:val="003E65AD"/>
    <w:rsid w:val="003F04FC"/>
    <w:rsid w:val="00403E5A"/>
    <w:rsid w:val="00404CDD"/>
    <w:rsid w:val="00405A3A"/>
    <w:rsid w:val="00406AF1"/>
    <w:rsid w:val="00406CC2"/>
    <w:rsid w:val="004106BD"/>
    <w:rsid w:val="00414E45"/>
    <w:rsid w:val="00420E74"/>
    <w:rsid w:val="004236BB"/>
    <w:rsid w:val="00424BCD"/>
    <w:rsid w:val="00441EBC"/>
    <w:rsid w:val="00447E61"/>
    <w:rsid w:val="00454EAB"/>
    <w:rsid w:val="004719E1"/>
    <w:rsid w:val="00474407"/>
    <w:rsid w:val="0048012C"/>
    <w:rsid w:val="00482C2C"/>
    <w:rsid w:val="00482DF7"/>
    <w:rsid w:val="00482F8F"/>
    <w:rsid w:val="00483549"/>
    <w:rsid w:val="004915DA"/>
    <w:rsid w:val="004960DA"/>
    <w:rsid w:val="004A0784"/>
    <w:rsid w:val="004A14B6"/>
    <w:rsid w:val="004A1F5E"/>
    <w:rsid w:val="004A23BC"/>
    <w:rsid w:val="004A4B62"/>
    <w:rsid w:val="004A67E6"/>
    <w:rsid w:val="004B07E1"/>
    <w:rsid w:val="004B46F0"/>
    <w:rsid w:val="004B6C75"/>
    <w:rsid w:val="004B6F64"/>
    <w:rsid w:val="004B7EDC"/>
    <w:rsid w:val="004C1429"/>
    <w:rsid w:val="004C1C11"/>
    <w:rsid w:val="004C7666"/>
    <w:rsid w:val="004D2BCE"/>
    <w:rsid w:val="004D79EB"/>
    <w:rsid w:val="004E1220"/>
    <w:rsid w:val="004E222C"/>
    <w:rsid w:val="004E513F"/>
    <w:rsid w:val="004E5764"/>
    <w:rsid w:val="004F0617"/>
    <w:rsid w:val="004F158D"/>
    <w:rsid w:val="004F7BD5"/>
    <w:rsid w:val="005074E2"/>
    <w:rsid w:val="00507A84"/>
    <w:rsid w:val="00507F81"/>
    <w:rsid w:val="00511672"/>
    <w:rsid w:val="005129C6"/>
    <w:rsid w:val="0051311B"/>
    <w:rsid w:val="00513500"/>
    <w:rsid w:val="00525401"/>
    <w:rsid w:val="0053179A"/>
    <w:rsid w:val="005320FC"/>
    <w:rsid w:val="00544A15"/>
    <w:rsid w:val="0054689E"/>
    <w:rsid w:val="00551A31"/>
    <w:rsid w:val="00553C8F"/>
    <w:rsid w:val="005550C3"/>
    <w:rsid w:val="00561AE6"/>
    <w:rsid w:val="00565864"/>
    <w:rsid w:val="00565C54"/>
    <w:rsid w:val="00566FAA"/>
    <w:rsid w:val="00571747"/>
    <w:rsid w:val="0057351C"/>
    <w:rsid w:val="005737DF"/>
    <w:rsid w:val="00574CE6"/>
    <w:rsid w:val="00574CF5"/>
    <w:rsid w:val="0057793A"/>
    <w:rsid w:val="0058146C"/>
    <w:rsid w:val="0058188A"/>
    <w:rsid w:val="00583D95"/>
    <w:rsid w:val="00584CF4"/>
    <w:rsid w:val="005854B3"/>
    <w:rsid w:val="00594114"/>
    <w:rsid w:val="005A4340"/>
    <w:rsid w:val="005B3B15"/>
    <w:rsid w:val="005B3EAF"/>
    <w:rsid w:val="005B42F4"/>
    <w:rsid w:val="005B4B17"/>
    <w:rsid w:val="005B6281"/>
    <w:rsid w:val="005C0984"/>
    <w:rsid w:val="005E748D"/>
    <w:rsid w:val="005F0462"/>
    <w:rsid w:val="005F6569"/>
    <w:rsid w:val="005F7F27"/>
    <w:rsid w:val="00600B2E"/>
    <w:rsid w:val="00604E78"/>
    <w:rsid w:val="00605C99"/>
    <w:rsid w:val="0060753B"/>
    <w:rsid w:val="006105F6"/>
    <w:rsid w:val="00620BFC"/>
    <w:rsid w:val="00622C65"/>
    <w:rsid w:val="0063005D"/>
    <w:rsid w:val="00631F4A"/>
    <w:rsid w:val="00635FB9"/>
    <w:rsid w:val="006367E8"/>
    <w:rsid w:val="0064077C"/>
    <w:rsid w:val="006414EF"/>
    <w:rsid w:val="00641C89"/>
    <w:rsid w:val="00642544"/>
    <w:rsid w:val="00644C8A"/>
    <w:rsid w:val="006474E9"/>
    <w:rsid w:val="00650656"/>
    <w:rsid w:val="006519D1"/>
    <w:rsid w:val="0065367B"/>
    <w:rsid w:val="006563E9"/>
    <w:rsid w:val="006570D5"/>
    <w:rsid w:val="0066280A"/>
    <w:rsid w:val="00663196"/>
    <w:rsid w:val="006640F4"/>
    <w:rsid w:val="00665EA0"/>
    <w:rsid w:val="00670F25"/>
    <w:rsid w:val="00672244"/>
    <w:rsid w:val="00673E88"/>
    <w:rsid w:val="00675FC3"/>
    <w:rsid w:val="00680C28"/>
    <w:rsid w:val="00685C9C"/>
    <w:rsid w:val="00690C90"/>
    <w:rsid w:val="006955FA"/>
    <w:rsid w:val="006A17AF"/>
    <w:rsid w:val="006A52A1"/>
    <w:rsid w:val="006A5E48"/>
    <w:rsid w:val="006B02AD"/>
    <w:rsid w:val="006C2EB5"/>
    <w:rsid w:val="006D3521"/>
    <w:rsid w:val="006E1A24"/>
    <w:rsid w:val="006E2BD1"/>
    <w:rsid w:val="006E50F3"/>
    <w:rsid w:val="006E6249"/>
    <w:rsid w:val="006E633A"/>
    <w:rsid w:val="006F1165"/>
    <w:rsid w:val="006F153C"/>
    <w:rsid w:val="006F2842"/>
    <w:rsid w:val="00710BF3"/>
    <w:rsid w:val="0071462B"/>
    <w:rsid w:val="00714FE5"/>
    <w:rsid w:val="007151FA"/>
    <w:rsid w:val="0072758D"/>
    <w:rsid w:val="00727BA4"/>
    <w:rsid w:val="007357F6"/>
    <w:rsid w:val="00735E7B"/>
    <w:rsid w:val="007415B4"/>
    <w:rsid w:val="0074592B"/>
    <w:rsid w:val="00752E69"/>
    <w:rsid w:val="007558AA"/>
    <w:rsid w:val="007573A6"/>
    <w:rsid w:val="00763C23"/>
    <w:rsid w:val="007670D3"/>
    <w:rsid w:val="00772995"/>
    <w:rsid w:val="007825C2"/>
    <w:rsid w:val="0078719A"/>
    <w:rsid w:val="00787202"/>
    <w:rsid w:val="00791615"/>
    <w:rsid w:val="00797218"/>
    <w:rsid w:val="007A4726"/>
    <w:rsid w:val="007C5A10"/>
    <w:rsid w:val="007D470E"/>
    <w:rsid w:val="007D5142"/>
    <w:rsid w:val="007E4118"/>
    <w:rsid w:val="007F55A3"/>
    <w:rsid w:val="007F75FD"/>
    <w:rsid w:val="00805CDA"/>
    <w:rsid w:val="00811B54"/>
    <w:rsid w:val="00820746"/>
    <w:rsid w:val="00827D79"/>
    <w:rsid w:val="00831AF5"/>
    <w:rsid w:val="0083608B"/>
    <w:rsid w:val="008418A0"/>
    <w:rsid w:val="00842B46"/>
    <w:rsid w:val="00845043"/>
    <w:rsid w:val="0085170D"/>
    <w:rsid w:val="00862504"/>
    <w:rsid w:val="0086726A"/>
    <w:rsid w:val="00870EA3"/>
    <w:rsid w:val="008718A9"/>
    <w:rsid w:val="008725F6"/>
    <w:rsid w:val="00881CFC"/>
    <w:rsid w:val="00887893"/>
    <w:rsid w:val="00895FB1"/>
    <w:rsid w:val="008A4CA2"/>
    <w:rsid w:val="008A5139"/>
    <w:rsid w:val="008A5D8A"/>
    <w:rsid w:val="008A6592"/>
    <w:rsid w:val="008A695A"/>
    <w:rsid w:val="008B175D"/>
    <w:rsid w:val="008C20DE"/>
    <w:rsid w:val="008C2F3A"/>
    <w:rsid w:val="008C3106"/>
    <w:rsid w:val="008C3734"/>
    <w:rsid w:val="008C5774"/>
    <w:rsid w:val="008D39E6"/>
    <w:rsid w:val="008D51DC"/>
    <w:rsid w:val="008D52B4"/>
    <w:rsid w:val="008D7954"/>
    <w:rsid w:val="008E122B"/>
    <w:rsid w:val="008E1B7B"/>
    <w:rsid w:val="008E1BFE"/>
    <w:rsid w:val="008F5229"/>
    <w:rsid w:val="008F53F9"/>
    <w:rsid w:val="008F728F"/>
    <w:rsid w:val="009013B4"/>
    <w:rsid w:val="00904DB6"/>
    <w:rsid w:val="00906FE9"/>
    <w:rsid w:val="00911DB8"/>
    <w:rsid w:val="00912F73"/>
    <w:rsid w:val="009218B2"/>
    <w:rsid w:val="00921BF7"/>
    <w:rsid w:val="0092230A"/>
    <w:rsid w:val="009310AC"/>
    <w:rsid w:val="00932C68"/>
    <w:rsid w:val="00933140"/>
    <w:rsid w:val="00933AB4"/>
    <w:rsid w:val="00936D83"/>
    <w:rsid w:val="00941D2E"/>
    <w:rsid w:val="00942C51"/>
    <w:rsid w:val="00946812"/>
    <w:rsid w:val="009479AE"/>
    <w:rsid w:val="00947CCA"/>
    <w:rsid w:val="009578C4"/>
    <w:rsid w:val="00961E63"/>
    <w:rsid w:val="00971AEF"/>
    <w:rsid w:val="00973015"/>
    <w:rsid w:val="00973260"/>
    <w:rsid w:val="0097562B"/>
    <w:rsid w:val="009918DE"/>
    <w:rsid w:val="00993094"/>
    <w:rsid w:val="00994AE3"/>
    <w:rsid w:val="0099513B"/>
    <w:rsid w:val="009B418B"/>
    <w:rsid w:val="009B5055"/>
    <w:rsid w:val="009B5E7E"/>
    <w:rsid w:val="009C0521"/>
    <w:rsid w:val="009C3498"/>
    <w:rsid w:val="009C5219"/>
    <w:rsid w:val="009E0762"/>
    <w:rsid w:val="009E26EF"/>
    <w:rsid w:val="009F0E74"/>
    <w:rsid w:val="009F3FCC"/>
    <w:rsid w:val="00A10798"/>
    <w:rsid w:val="00A13B4B"/>
    <w:rsid w:val="00A16BE3"/>
    <w:rsid w:val="00A211FC"/>
    <w:rsid w:val="00A24C0C"/>
    <w:rsid w:val="00A24E40"/>
    <w:rsid w:val="00A251B4"/>
    <w:rsid w:val="00A310C7"/>
    <w:rsid w:val="00A31660"/>
    <w:rsid w:val="00A337EC"/>
    <w:rsid w:val="00A33CEC"/>
    <w:rsid w:val="00A44AD8"/>
    <w:rsid w:val="00A47C31"/>
    <w:rsid w:val="00A56EE2"/>
    <w:rsid w:val="00A63C0C"/>
    <w:rsid w:val="00A67E11"/>
    <w:rsid w:val="00A777BC"/>
    <w:rsid w:val="00A82765"/>
    <w:rsid w:val="00A84BD7"/>
    <w:rsid w:val="00A84F31"/>
    <w:rsid w:val="00A90E8B"/>
    <w:rsid w:val="00A91C02"/>
    <w:rsid w:val="00A96F43"/>
    <w:rsid w:val="00AA62A2"/>
    <w:rsid w:val="00AA6679"/>
    <w:rsid w:val="00AA77FE"/>
    <w:rsid w:val="00AA78E1"/>
    <w:rsid w:val="00AB39E0"/>
    <w:rsid w:val="00AC385D"/>
    <w:rsid w:val="00AC440E"/>
    <w:rsid w:val="00AC4B08"/>
    <w:rsid w:val="00AC4C83"/>
    <w:rsid w:val="00AD46B6"/>
    <w:rsid w:val="00AE557D"/>
    <w:rsid w:val="00B00671"/>
    <w:rsid w:val="00B00E53"/>
    <w:rsid w:val="00B02683"/>
    <w:rsid w:val="00B02A8B"/>
    <w:rsid w:val="00B04151"/>
    <w:rsid w:val="00B04152"/>
    <w:rsid w:val="00B13DCD"/>
    <w:rsid w:val="00B238DE"/>
    <w:rsid w:val="00B23CF1"/>
    <w:rsid w:val="00B23E9F"/>
    <w:rsid w:val="00B24156"/>
    <w:rsid w:val="00B25AFA"/>
    <w:rsid w:val="00B32414"/>
    <w:rsid w:val="00B32E4C"/>
    <w:rsid w:val="00B36507"/>
    <w:rsid w:val="00B417BE"/>
    <w:rsid w:val="00B41A65"/>
    <w:rsid w:val="00B50CF7"/>
    <w:rsid w:val="00B524B2"/>
    <w:rsid w:val="00B53155"/>
    <w:rsid w:val="00B53D91"/>
    <w:rsid w:val="00B604B8"/>
    <w:rsid w:val="00B65393"/>
    <w:rsid w:val="00B70BC7"/>
    <w:rsid w:val="00B72258"/>
    <w:rsid w:val="00B742D2"/>
    <w:rsid w:val="00B8234A"/>
    <w:rsid w:val="00B83263"/>
    <w:rsid w:val="00B84113"/>
    <w:rsid w:val="00B841FC"/>
    <w:rsid w:val="00B84ACA"/>
    <w:rsid w:val="00B852E9"/>
    <w:rsid w:val="00B85846"/>
    <w:rsid w:val="00B85F49"/>
    <w:rsid w:val="00B8660F"/>
    <w:rsid w:val="00B93E86"/>
    <w:rsid w:val="00BA3841"/>
    <w:rsid w:val="00BA41FA"/>
    <w:rsid w:val="00BA79ED"/>
    <w:rsid w:val="00BB6FD3"/>
    <w:rsid w:val="00BC2F79"/>
    <w:rsid w:val="00BC61CE"/>
    <w:rsid w:val="00BC6493"/>
    <w:rsid w:val="00BD016D"/>
    <w:rsid w:val="00BD2B93"/>
    <w:rsid w:val="00BD5C8D"/>
    <w:rsid w:val="00BE02CD"/>
    <w:rsid w:val="00BE73D8"/>
    <w:rsid w:val="00BF4D96"/>
    <w:rsid w:val="00C02DB4"/>
    <w:rsid w:val="00C136D1"/>
    <w:rsid w:val="00C22387"/>
    <w:rsid w:val="00C25CD1"/>
    <w:rsid w:val="00C30A12"/>
    <w:rsid w:val="00C3179F"/>
    <w:rsid w:val="00C32F79"/>
    <w:rsid w:val="00C35FEF"/>
    <w:rsid w:val="00C365CF"/>
    <w:rsid w:val="00C43B65"/>
    <w:rsid w:val="00C4412D"/>
    <w:rsid w:val="00C50DAC"/>
    <w:rsid w:val="00C53317"/>
    <w:rsid w:val="00C61C65"/>
    <w:rsid w:val="00C6285F"/>
    <w:rsid w:val="00C657C2"/>
    <w:rsid w:val="00C740E4"/>
    <w:rsid w:val="00C83F04"/>
    <w:rsid w:val="00C9108D"/>
    <w:rsid w:val="00CB1A28"/>
    <w:rsid w:val="00CB1D4B"/>
    <w:rsid w:val="00CB44F7"/>
    <w:rsid w:val="00CB4A41"/>
    <w:rsid w:val="00CD1DFE"/>
    <w:rsid w:val="00CD406C"/>
    <w:rsid w:val="00CD5A23"/>
    <w:rsid w:val="00CE39C3"/>
    <w:rsid w:val="00CE6BDC"/>
    <w:rsid w:val="00CE6FBA"/>
    <w:rsid w:val="00CF45BB"/>
    <w:rsid w:val="00D054B8"/>
    <w:rsid w:val="00D10A85"/>
    <w:rsid w:val="00D12783"/>
    <w:rsid w:val="00D15ADB"/>
    <w:rsid w:val="00D17CA8"/>
    <w:rsid w:val="00D17FA8"/>
    <w:rsid w:val="00D25C1A"/>
    <w:rsid w:val="00D261BA"/>
    <w:rsid w:val="00D33B92"/>
    <w:rsid w:val="00D42DD0"/>
    <w:rsid w:val="00D508CB"/>
    <w:rsid w:val="00D53575"/>
    <w:rsid w:val="00D54A85"/>
    <w:rsid w:val="00D565E5"/>
    <w:rsid w:val="00D63732"/>
    <w:rsid w:val="00D75F24"/>
    <w:rsid w:val="00D8084A"/>
    <w:rsid w:val="00D916B7"/>
    <w:rsid w:val="00D93569"/>
    <w:rsid w:val="00D95D59"/>
    <w:rsid w:val="00DA075A"/>
    <w:rsid w:val="00DA0CB9"/>
    <w:rsid w:val="00DA69C9"/>
    <w:rsid w:val="00DA74F0"/>
    <w:rsid w:val="00DA7BF4"/>
    <w:rsid w:val="00DB0E69"/>
    <w:rsid w:val="00DB2AB5"/>
    <w:rsid w:val="00DB371B"/>
    <w:rsid w:val="00DC0B69"/>
    <w:rsid w:val="00DD0867"/>
    <w:rsid w:val="00DD42DE"/>
    <w:rsid w:val="00DE07D8"/>
    <w:rsid w:val="00DE17AD"/>
    <w:rsid w:val="00DF080C"/>
    <w:rsid w:val="00DF39A5"/>
    <w:rsid w:val="00E0048E"/>
    <w:rsid w:val="00E02992"/>
    <w:rsid w:val="00E056D8"/>
    <w:rsid w:val="00E06C9C"/>
    <w:rsid w:val="00E076E1"/>
    <w:rsid w:val="00E07946"/>
    <w:rsid w:val="00E10B1C"/>
    <w:rsid w:val="00E148A2"/>
    <w:rsid w:val="00E33649"/>
    <w:rsid w:val="00E37FAF"/>
    <w:rsid w:val="00E4204B"/>
    <w:rsid w:val="00E50BDF"/>
    <w:rsid w:val="00E51DDB"/>
    <w:rsid w:val="00E52F6F"/>
    <w:rsid w:val="00E54681"/>
    <w:rsid w:val="00E55EF9"/>
    <w:rsid w:val="00E60BE2"/>
    <w:rsid w:val="00E63991"/>
    <w:rsid w:val="00E65931"/>
    <w:rsid w:val="00E7115E"/>
    <w:rsid w:val="00E74CDB"/>
    <w:rsid w:val="00E77FC2"/>
    <w:rsid w:val="00E8265D"/>
    <w:rsid w:val="00E8484E"/>
    <w:rsid w:val="00E9613F"/>
    <w:rsid w:val="00EA65BC"/>
    <w:rsid w:val="00EA6918"/>
    <w:rsid w:val="00EB4A7C"/>
    <w:rsid w:val="00EB62A0"/>
    <w:rsid w:val="00EC229B"/>
    <w:rsid w:val="00EC33A3"/>
    <w:rsid w:val="00ED2B6A"/>
    <w:rsid w:val="00ED33CF"/>
    <w:rsid w:val="00ED37E0"/>
    <w:rsid w:val="00ED4160"/>
    <w:rsid w:val="00ED6503"/>
    <w:rsid w:val="00ED782E"/>
    <w:rsid w:val="00EE2E05"/>
    <w:rsid w:val="00EE38D8"/>
    <w:rsid w:val="00EE6430"/>
    <w:rsid w:val="00EE6828"/>
    <w:rsid w:val="00EF39AD"/>
    <w:rsid w:val="00F00803"/>
    <w:rsid w:val="00F02EBE"/>
    <w:rsid w:val="00F108A8"/>
    <w:rsid w:val="00F20877"/>
    <w:rsid w:val="00F208A1"/>
    <w:rsid w:val="00F2193D"/>
    <w:rsid w:val="00F22021"/>
    <w:rsid w:val="00F379D0"/>
    <w:rsid w:val="00F4491B"/>
    <w:rsid w:val="00F45A35"/>
    <w:rsid w:val="00F4761B"/>
    <w:rsid w:val="00F51056"/>
    <w:rsid w:val="00F54C85"/>
    <w:rsid w:val="00F62912"/>
    <w:rsid w:val="00F65B3A"/>
    <w:rsid w:val="00F66859"/>
    <w:rsid w:val="00F67622"/>
    <w:rsid w:val="00F67AEE"/>
    <w:rsid w:val="00F7343F"/>
    <w:rsid w:val="00F74764"/>
    <w:rsid w:val="00F801CE"/>
    <w:rsid w:val="00F85908"/>
    <w:rsid w:val="00F90E99"/>
    <w:rsid w:val="00F93AC8"/>
    <w:rsid w:val="00F9496B"/>
    <w:rsid w:val="00F95EA4"/>
    <w:rsid w:val="00F96701"/>
    <w:rsid w:val="00F96E43"/>
    <w:rsid w:val="00F979E6"/>
    <w:rsid w:val="00FA22C1"/>
    <w:rsid w:val="00FA3521"/>
    <w:rsid w:val="00FB1CC4"/>
    <w:rsid w:val="00FB7116"/>
    <w:rsid w:val="00FC545B"/>
    <w:rsid w:val="00FD0327"/>
    <w:rsid w:val="00FD280A"/>
    <w:rsid w:val="00FE0410"/>
    <w:rsid w:val="00FE0F7B"/>
    <w:rsid w:val="00FE2E3F"/>
    <w:rsid w:val="00FE4E8E"/>
    <w:rsid w:val="00FE7E36"/>
    <w:rsid w:val="00FF7A23"/>
    <w:rsid w:val="125F4E27"/>
    <w:rsid w:val="245571F5"/>
    <w:rsid w:val="37188E7A"/>
    <w:rsid w:val="3AB950A3"/>
    <w:rsid w:val="54212E1D"/>
    <w:rsid w:val="579EF1C1"/>
    <w:rsid w:val="71B719AD"/>
    <w:rsid w:val="79B4E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3C3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99"/>
    <w:pPr>
      <w:spacing w:line="480" w:lineRule="exact"/>
      <w:ind w:firstLine="0"/>
    </w:pPr>
    <w:rPr>
      <w:sz w:val="28"/>
      <w:szCs w:val="28"/>
    </w:rPr>
  </w:style>
  <w:style w:type="paragraph" w:styleId="Heading1">
    <w:name w:val="heading 1"/>
    <w:basedOn w:val="Normal"/>
    <w:next w:val="Normal"/>
    <w:link w:val="Heading1Char"/>
    <w:uiPriority w:val="9"/>
    <w:unhideWhenUsed/>
    <w:qFormat/>
    <w:rsid w:val="000A3F9A"/>
    <w:pPr>
      <w:jc w:val="center"/>
      <w:outlineLvl w:val="0"/>
    </w:pPr>
    <w:rPr>
      <w:b/>
      <w:bCs/>
      <w:u w:val="single"/>
    </w:rPr>
  </w:style>
  <w:style w:type="paragraph" w:styleId="Heading2">
    <w:name w:val="heading 2"/>
    <w:basedOn w:val="Heading1"/>
    <w:next w:val="Normal"/>
    <w:link w:val="Heading2Char"/>
    <w:uiPriority w:val="9"/>
    <w:unhideWhenUsed/>
    <w:qFormat/>
    <w:rsid w:val="000A3F9A"/>
    <w:pPr>
      <w:numPr>
        <w:numId w:val="22"/>
      </w:numPr>
      <w:ind w:hanging="720"/>
      <w:jc w:val="left"/>
      <w:outlineLvl w:val="1"/>
    </w:pPr>
    <w:rPr>
      <w:u w:val="none"/>
    </w:rPr>
  </w:style>
  <w:style w:type="paragraph" w:styleId="Heading3">
    <w:name w:val="heading 3"/>
    <w:basedOn w:val="ListParagraph"/>
    <w:next w:val="Normal"/>
    <w:link w:val="Heading3Char"/>
    <w:uiPriority w:val="9"/>
    <w:unhideWhenUsed/>
    <w:qFormat/>
    <w:rsid w:val="00B742D2"/>
    <w:pPr>
      <w:numPr>
        <w:numId w:val="20"/>
      </w:numPr>
      <w:ind w:left="1440" w:hanging="720"/>
      <w:outlineLvl w:val="2"/>
    </w:pPr>
    <w:rPr>
      <w:b/>
      <w:bCs/>
    </w:rPr>
  </w:style>
  <w:style w:type="paragraph" w:styleId="Heading4">
    <w:name w:val="heading 4"/>
    <w:basedOn w:val="ListParagraph"/>
    <w:next w:val="Normal"/>
    <w:link w:val="Heading4Char"/>
    <w:uiPriority w:val="9"/>
    <w:unhideWhenUsed/>
    <w:qFormat/>
    <w:rsid w:val="00B742D2"/>
    <w:pPr>
      <w:numPr>
        <w:numId w:val="24"/>
      </w:numPr>
      <w:ind w:left="2160" w:hanging="720"/>
      <w:outlineLvl w:val="3"/>
    </w:pPr>
    <w:rPr>
      <w:b/>
      <w:bCs/>
    </w:rPr>
  </w:style>
  <w:style w:type="paragraph" w:styleId="Heading5">
    <w:name w:val="heading 5"/>
    <w:basedOn w:val="Normal"/>
    <w:next w:val="Normal"/>
    <w:link w:val="Heading5Char"/>
    <w:uiPriority w:val="9"/>
    <w:unhideWhenUsed/>
    <w:qFormat/>
    <w:rsid w:val="00B742D2"/>
    <w:pPr>
      <w:keepNext/>
      <w:keepLines/>
      <w:numPr>
        <w:ilvl w:val="4"/>
        <w:numId w:val="24"/>
      </w:numPr>
      <w:spacing w:before="40"/>
      <w:ind w:left="2880" w:hanging="7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40" w:lineRule="auto"/>
    </w:pPr>
    <w:rPr>
      <w:caps/>
    </w:rPr>
  </w:style>
  <w:style w:type="character" w:customStyle="1" w:styleId="FooterChar">
    <w:name w:val="Footer Char"/>
    <w:basedOn w:val="DefaultParagraphFont"/>
    <w:link w:val="Footer"/>
    <w:uiPriority w:val="99"/>
    <w:rPr>
      <w:caps/>
    </w:rPr>
  </w:style>
  <w:style w:type="table" w:styleId="TableGrid">
    <w:name w:val="Table Grid"/>
    <w:basedOn w:val="TableNormal"/>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pPr>
      <w:spacing w:after="200" w:line="240" w:lineRule="auto"/>
    </w:pPr>
    <w:rPr>
      <w:rFonts w:asciiTheme="majorHAnsi" w:eastAsiaTheme="majorEastAsia" w:hAnsiTheme="majorHAnsi" w:cstheme="majorBidi"/>
      <w:caps/>
    </w:rPr>
  </w:style>
  <w:style w:type="paragraph" w:customStyle="1" w:styleId="Pleadingtitle">
    <w:name w:val="Pleading title"/>
    <w:basedOn w:val="Normal"/>
    <w:link w:val="PleadingtitleChar"/>
    <w:uiPriority w:val="1"/>
    <w:pPr>
      <w:spacing w:line="240" w:lineRule="auto"/>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rsid w:val="00406CC2"/>
    <w:pPr>
      <w:spacing w:before="240"/>
      <w:contextualSpacing/>
      <w:jc w:val="center"/>
    </w:pPr>
    <w:rPr>
      <w:bCs/>
      <w:caps/>
    </w:rPr>
  </w:style>
  <w:style w:type="character" w:customStyle="1" w:styleId="Heading1Char">
    <w:name w:val="Heading 1 Char"/>
    <w:basedOn w:val="DefaultParagraphFont"/>
    <w:link w:val="Heading1"/>
    <w:uiPriority w:val="9"/>
    <w:rsid w:val="000A3F9A"/>
    <w:rPr>
      <w:b/>
      <w:bCs/>
      <w:sz w:val="28"/>
      <w:szCs w:val="28"/>
      <w:u w:val="single"/>
    </w:rPr>
  </w:style>
  <w:style w:type="paragraph" w:customStyle="1" w:styleId="AttorneyName">
    <w:name w:val="Attorney Name"/>
    <w:basedOn w:val="Normal"/>
    <w:link w:val="AttorneyNameChar"/>
    <w:uiPriority w:val="1"/>
    <w:rsid w:val="00396944"/>
    <w:pPr>
      <w:spacing w:line="240" w:lineRule="auto"/>
      <w:contextualSpacing/>
    </w:pPr>
  </w:style>
  <w:style w:type="paragraph" w:customStyle="1" w:styleId="LineNumbers">
    <w:name w:val="Line Numbers"/>
    <w:basedOn w:val="Normal"/>
    <w:uiPriority w:val="1"/>
    <w:pPr>
      <w:jc w:val="right"/>
    </w:pPr>
  </w:style>
  <w:style w:type="paragraph" w:customStyle="1" w:styleId="CaseNo">
    <w:name w:val="Case No."/>
    <w:basedOn w:val="Normal"/>
    <w:link w:val="CaseNoChar"/>
    <w:uiPriority w:val="1"/>
    <w:pPr>
      <w:spacing w:after="640" w:line="240" w:lineRule="auto"/>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rsid w:val="000A3F9A"/>
    <w:rPr>
      <w:b/>
      <w:bCs/>
      <w:sz w:val="28"/>
      <w:szCs w:val="28"/>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sid w:val="00406CC2"/>
    <w:rPr>
      <w:bCs/>
      <w:caps/>
      <w:sz w:val="28"/>
      <w:szCs w:val="28"/>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basedOn w:val="Normal"/>
    <w:uiPriority w:val="1"/>
    <w:unhideWhenUsed/>
    <w:qFormat/>
    <w:rsid w:val="003271B6"/>
    <w:pPr>
      <w:spacing w:line="240" w:lineRule="auto"/>
    </w:pPr>
  </w:style>
  <w:style w:type="paragraph" w:styleId="Date">
    <w:name w:val="Date"/>
    <w:basedOn w:val="Normal"/>
    <w:next w:val="Normal"/>
    <w:link w:val="DateChar"/>
    <w:uiPriority w:val="1"/>
    <w:unhideWhenUsed/>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rsid w:val="00B742D2"/>
    <w:rPr>
      <w:b/>
      <w:bCs/>
      <w:sz w:val="28"/>
      <w:szCs w:val="28"/>
    </w:rPr>
  </w:style>
  <w:style w:type="character" w:customStyle="1" w:styleId="Heading5Char">
    <w:name w:val="Heading 5 Char"/>
    <w:basedOn w:val="DefaultParagraphFont"/>
    <w:link w:val="Heading5"/>
    <w:uiPriority w:val="9"/>
    <w:rsid w:val="00B742D2"/>
    <w:rPr>
      <w:rFonts w:asciiTheme="majorHAnsi" w:eastAsiaTheme="majorEastAsia" w:hAnsiTheme="majorHAnsi" w:cstheme="majorBidi"/>
      <w:b/>
      <w:bCs/>
      <w:sz w:val="28"/>
      <w:szCs w:val="28"/>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rsid w:val="00B742D2"/>
    <w:rPr>
      <w:b/>
      <w:bCs/>
      <w:sz w:val="28"/>
      <w:szCs w:val="28"/>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unhideWhenUsed/>
    <w:qFormat/>
    <w:rsid w:val="00B04152"/>
    <w:pPr>
      <w:ind w:left="720" w:right="1080"/>
    </w:pPr>
  </w:style>
  <w:style w:type="character" w:customStyle="1" w:styleId="QuoteChar">
    <w:name w:val="Quote Char"/>
    <w:basedOn w:val="DefaultParagraphFont"/>
    <w:link w:val="Quote"/>
    <w:uiPriority w:val="29"/>
    <w:rsid w:val="00B04152"/>
    <w:rPr>
      <w:sz w:val="28"/>
      <w:szCs w:val="28"/>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left="86"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HeaderNumbers">
    <w:name w:val="HeaderNumbers"/>
    <w:basedOn w:val="Normal"/>
    <w:rsid w:val="00735E7B"/>
    <w:pPr>
      <w:widowControl w:val="0"/>
      <w:spacing w:before="720"/>
      <w:ind w:right="144"/>
      <w:jc w:val="right"/>
    </w:pPr>
    <w:rPr>
      <w:rFonts w:ascii="Times New Roman" w:eastAsia="Times New Roman" w:hAnsi="Times New Roman" w:cs="Times New Roman"/>
      <w:lang w:eastAsia="en-US"/>
    </w:rPr>
  </w:style>
  <w:style w:type="character" w:styleId="PageNumber">
    <w:name w:val="page number"/>
    <w:rsid w:val="00735E7B"/>
    <w:rPr>
      <w:rFonts w:ascii="Times New Roman" w:hAnsi="Times New Roman"/>
      <w:sz w:val="28"/>
    </w:rPr>
  </w:style>
  <w:style w:type="paragraph" w:customStyle="1" w:styleId="FooterDocumentTitle">
    <w:name w:val="Footer Document Title"/>
    <w:basedOn w:val="Normal"/>
    <w:rsid w:val="00735E7B"/>
    <w:pPr>
      <w:spacing w:line="240" w:lineRule="auto"/>
    </w:pPr>
    <w:rPr>
      <w:rFonts w:ascii="Times New Roman" w:eastAsia="Times New Roman" w:hAnsi="Times New Roman" w:cs="Times New Roman"/>
      <w:lang w:eastAsia="en-US"/>
    </w:rPr>
  </w:style>
  <w:style w:type="paragraph" w:customStyle="1" w:styleId="FirmName">
    <w:name w:val="Firm Name"/>
    <w:basedOn w:val="Normal"/>
    <w:uiPriority w:val="99"/>
    <w:rsid w:val="00735E7B"/>
    <w:pPr>
      <w:spacing w:line="160" w:lineRule="exact"/>
      <w:jc w:val="center"/>
    </w:pPr>
    <w:rPr>
      <w:rFonts w:ascii="Arial Narrow" w:eastAsia="Times New Roman" w:hAnsi="Arial Narrow" w:cs="Times New Roman"/>
      <w:caps/>
      <w:spacing w:val="10"/>
      <w:sz w:val="11"/>
      <w:lang w:eastAsia="en-US"/>
    </w:rPr>
  </w:style>
  <w:style w:type="paragraph" w:styleId="FootnoteText">
    <w:name w:val="footnote text"/>
    <w:basedOn w:val="Normal"/>
    <w:link w:val="FootnoteTextChar"/>
    <w:uiPriority w:val="99"/>
    <w:semiHidden/>
    <w:rsid w:val="009013B4"/>
    <w:pPr>
      <w:spacing w:after="120" w:line="240" w:lineRule="auto"/>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uiPriority w:val="99"/>
    <w:rsid w:val="009013B4"/>
    <w:rPr>
      <w:rFonts w:ascii="Times New Roman" w:eastAsia="Times New Roman" w:hAnsi="Times New Roman" w:cs="Times New Roman"/>
      <w:sz w:val="28"/>
      <w:szCs w:val="28"/>
      <w:lang w:eastAsia="en-US"/>
    </w:rPr>
  </w:style>
  <w:style w:type="character" w:styleId="FootnoteReference">
    <w:name w:val="footnote reference"/>
    <w:uiPriority w:val="99"/>
    <w:semiHidden/>
    <w:rsid w:val="00DA69C9"/>
    <w:rPr>
      <w:sz w:val="28"/>
      <w:vertAlign w:val="superscript"/>
    </w:rPr>
  </w:style>
  <w:style w:type="paragraph" w:customStyle="1" w:styleId="PartyName">
    <w:name w:val="Party Name"/>
    <w:basedOn w:val="Parties"/>
    <w:link w:val="PartyNameChar"/>
    <w:rsid w:val="00406CC2"/>
    <w:pPr>
      <w:spacing w:after="0" w:line="480" w:lineRule="exact"/>
    </w:pPr>
  </w:style>
  <w:style w:type="character" w:customStyle="1" w:styleId="PartyNameChar">
    <w:name w:val="Party Name Char"/>
    <w:basedOn w:val="PartiesChar"/>
    <w:link w:val="PartyName"/>
    <w:rsid w:val="00406CC2"/>
    <w:rPr>
      <w:rFonts w:asciiTheme="majorHAnsi" w:eastAsiaTheme="majorEastAsia" w:hAnsiTheme="majorHAnsi" w:cstheme="majorBidi"/>
      <w:caps/>
      <w:sz w:val="28"/>
      <w:szCs w:val="28"/>
    </w:rPr>
  </w:style>
  <w:style w:type="character" w:styleId="CommentReference">
    <w:name w:val="annotation reference"/>
    <w:basedOn w:val="DefaultParagraphFont"/>
    <w:semiHidden/>
    <w:unhideWhenUsed/>
    <w:rsid w:val="00B8234A"/>
    <w:rPr>
      <w:sz w:val="16"/>
      <w:szCs w:val="16"/>
    </w:rPr>
  </w:style>
  <w:style w:type="paragraph" w:styleId="CommentText">
    <w:name w:val="annotation text"/>
    <w:basedOn w:val="Normal"/>
    <w:link w:val="CommentTextChar"/>
    <w:unhideWhenUsed/>
    <w:rsid w:val="00B8234A"/>
    <w:pPr>
      <w:spacing w:line="240" w:lineRule="auto"/>
    </w:pPr>
    <w:rPr>
      <w:sz w:val="20"/>
      <w:szCs w:val="20"/>
    </w:rPr>
  </w:style>
  <w:style w:type="character" w:customStyle="1" w:styleId="CommentTextChar">
    <w:name w:val="Comment Text Char"/>
    <w:basedOn w:val="DefaultParagraphFont"/>
    <w:link w:val="CommentText"/>
    <w:uiPriority w:val="99"/>
    <w:rsid w:val="00B8234A"/>
  </w:style>
  <w:style w:type="paragraph" w:styleId="CommentSubject">
    <w:name w:val="annotation subject"/>
    <w:basedOn w:val="CommentText"/>
    <w:next w:val="CommentText"/>
    <w:link w:val="CommentSubjectChar"/>
    <w:uiPriority w:val="99"/>
    <w:semiHidden/>
    <w:unhideWhenUsed/>
    <w:rsid w:val="00B8234A"/>
    <w:rPr>
      <w:b/>
      <w:bCs/>
    </w:rPr>
  </w:style>
  <w:style w:type="character" w:customStyle="1" w:styleId="CommentSubjectChar">
    <w:name w:val="Comment Subject Char"/>
    <w:basedOn w:val="CommentTextChar"/>
    <w:link w:val="CommentSubject"/>
    <w:uiPriority w:val="99"/>
    <w:semiHidden/>
    <w:rsid w:val="00B8234A"/>
    <w:rPr>
      <w:b/>
      <w:bCs/>
    </w:rPr>
  </w:style>
  <w:style w:type="paragraph" w:customStyle="1" w:styleId="SingleSpacing">
    <w:name w:val="Single Spacing"/>
    <w:basedOn w:val="Normal"/>
    <w:rsid w:val="00E51DDB"/>
    <w:pPr>
      <w:spacing w:line="240" w:lineRule="exact"/>
    </w:pPr>
    <w:rPr>
      <w:rFonts w:ascii="Times New Roman" w:eastAsia="Times New Roman" w:hAnsi="Times New Roman" w:cs="Times New Roman"/>
      <w:sz w:val="20"/>
      <w:szCs w:val="20"/>
      <w:lang w:eastAsia="en-US"/>
    </w:rPr>
  </w:style>
  <w:style w:type="character" w:styleId="UnresolvedMention">
    <w:name w:val="Unresolved Mention"/>
    <w:basedOn w:val="DefaultParagraphFont"/>
    <w:uiPriority w:val="99"/>
    <w:semiHidden/>
    <w:unhideWhenUsed/>
    <w:rsid w:val="00A63C0C"/>
    <w:rPr>
      <w:color w:val="605E5C"/>
      <w:shd w:val="clear" w:color="auto" w:fill="E1DFDD"/>
    </w:rPr>
  </w:style>
  <w:style w:type="character" w:customStyle="1" w:styleId="normaltextrun">
    <w:name w:val="normaltextrun"/>
    <w:basedOn w:val="DefaultParagraphFont"/>
    <w:rsid w:val="007F75FD"/>
  </w:style>
  <w:style w:type="paragraph" w:styleId="Revision">
    <w:name w:val="Revision"/>
    <w:hidden/>
    <w:uiPriority w:val="99"/>
    <w:semiHidden/>
    <w:rsid w:val="003C1563"/>
    <w:pPr>
      <w:spacing w:line="240" w:lineRule="auto"/>
      <w:ind w:firstLine="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65328">
      <w:bodyDiv w:val="1"/>
      <w:marLeft w:val="0"/>
      <w:marRight w:val="0"/>
      <w:marTop w:val="0"/>
      <w:marBottom w:val="0"/>
      <w:divBdr>
        <w:top w:val="none" w:sz="0" w:space="0" w:color="auto"/>
        <w:left w:val="none" w:sz="0" w:space="0" w:color="auto"/>
        <w:bottom w:val="none" w:sz="0" w:space="0" w:color="auto"/>
        <w:right w:val="none" w:sz="0" w:space="0" w:color="auto"/>
      </w:divBdr>
    </w:div>
    <w:div w:id="711002347">
      <w:bodyDiv w:val="1"/>
      <w:marLeft w:val="0"/>
      <w:marRight w:val="0"/>
      <w:marTop w:val="0"/>
      <w:marBottom w:val="0"/>
      <w:divBdr>
        <w:top w:val="none" w:sz="0" w:space="0" w:color="auto"/>
        <w:left w:val="none" w:sz="0" w:space="0" w:color="auto"/>
        <w:bottom w:val="none" w:sz="0" w:space="0" w:color="auto"/>
        <w:right w:val="none" w:sz="0" w:space="0" w:color="auto"/>
      </w:divBdr>
      <w:divsChild>
        <w:div w:id="2058778987">
          <w:marLeft w:val="0"/>
          <w:marRight w:val="0"/>
          <w:marTop w:val="0"/>
          <w:marBottom w:val="0"/>
          <w:divBdr>
            <w:top w:val="none" w:sz="0" w:space="0" w:color="auto"/>
            <w:left w:val="none" w:sz="0" w:space="0" w:color="auto"/>
            <w:bottom w:val="none" w:sz="0" w:space="0" w:color="auto"/>
            <w:right w:val="none" w:sz="0" w:space="0" w:color="auto"/>
          </w:divBdr>
          <w:divsChild>
            <w:div w:id="1269891959">
              <w:marLeft w:val="0"/>
              <w:marRight w:val="0"/>
              <w:marTop w:val="0"/>
              <w:marBottom w:val="0"/>
              <w:divBdr>
                <w:top w:val="none" w:sz="0" w:space="0" w:color="auto"/>
                <w:left w:val="none" w:sz="0" w:space="0" w:color="auto"/>
                <w:bottom w:val="none" w:sz="0" w:space="0" w:color="auto"/>
                <w:right w:val="none" w:sz="0" w:space="0" w:color="auto"/>
              </w:divBdr>
              <w:divsChild>
                <w:div w:id="9605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58887">
      <w:bodyDiv w:val="1"/>
      <w:marLeft w:val="0"/>
      <w:marRight w:val="0"/>
      <w:marTop w:val="0"/>
      <w:marBottom w:val="0"/>
      <w:divBdr>
        <w:top w:val="none" w:sz="0" w:space="0" w:color="auto"/>
        <w:left w:val="none" w:sz="0" w:space="0" w:color="auto"/>
        <w:bottom w:val="none" w:sz="0" w:space="0" w:color="auto"/>
        <w:right w:val="none" w:sz="0" w:space="0" w:color="auto"/>
      </w:divBdr>
      <w:divsChild>
        <w:div w:id="647323339">
          <w:marLeft w:val="0"/>
          <w:marRight w:val="0"/>
          <w:marTop w:val="0"/>
          <w:marBottom w:val="0"/>
          <w:divBdr>
            <w:top w:val="none" w:sz="0" w:space="0" w:color="auto"/>
            <w:left w:val="none" w:sz="0" w:space="0" w:color="auto"/>
            <w:bottom w:val="none" w:sz="0" w:space="0" w:color="auto"/>
            <w:right w:val="none" w:sz="0" w:space="0" w:color="auto"/>
          </w:divBdr>
          <w:divsChild>
            <w:div w:id="392435211">
              <w:marLeft w:val="0"/>
              <w:marRight w:val="0"/>
              <w:marTop w:val="0"/>
              <w:marBottom w:val="0"/>
              <w:divBdr>
                <w:top w:val="none" w:sz="0" w:space="0" w:color="auto"/>
                <w:left w:val="none" w:sz="0" w:space="0" w:color="auto"/>
                <w:bottom w:val="none" w:sz="0" w:space="0" w:color="auto"/>
                <w:right w:val="none" w:sz="0" w:space="0" w:color="auto"/>
              </w:divBdr>
              <w:divsChild>
                <w:div w:id="1809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9033">
      <w:bodyDiv w:val="1"/>
      <w:marLeft w:val="0"/>
      <w:marRight w:val="0"/>
      <w:marTop w:val="0"/>
      <w:marBottom w:val="0"/>
      <w:divBdr>
        <w:top w:val="none" w:sz="0" w:space="0" w:color="auto"/>
        <w:left w:val="none" w:sz="0" w:space="0" w:color="auto"/>
        <w:bottom w:val="none" w:sz="0" w:space="0" w:color="auto"/>
        <w:right w:val="none" w:sz="0" w:space="0" w:color="auto"/>
      </w:divBdr>
    </w:div>
    <w:div w:id="928544312">
      <w:bodyDiv w:val="1"/>
      <w:marLeft w:val="0"/>
      <w:marRight w:val="0"/>
      <w:marTop w:val="0"/>
      <w:marBottom w:val="0"/>
      <w:divBdr>
        <w:top w:val="none" w:sz="0" w:space="0" w:color="auto"/>
        <w:left w:val="none" w:sz="0" w:space="0" w:color="auto"/>
        <w:bottom w:val="none" w:sz="0" w:space="0" w:color="auto"/>
        <w:right w:val="none" w:sz="0" w:space="0" w:color="auto"/>
      </w:divBdr>
      <w:divsChild>
        <w:div w:id="809596528">
          <w:marLeft w:val="0"/>
          <w:marRight w:val="0"/>
          <w:marTop w:val="0"/>
          <w:marBottom w:val="0"/>
          <w:divBdr>
            <w:top w:val="none" w:sz="0" w:space="0" w:color="auto"/>
            <w:left w:val="none" w:sz="0" w:space="0" w:color="auto"/>
            <w:bottom w:val="none" w:sz="0" w:space="0" w:color="auto"/>
            <w:right w:val="none" w:sz="0" w:space="0" w:color="auto"/>
          </w:divBdr>
        </w:div>
        <w:div w:id="1394043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acd.uscourts.gov/honorable-maame-ewusi-mensah-frimpong" TargetMode="External"/><Relationship Id="rId2" Type="http://schemas.openxmlformats.org/officeDocument/2006/relationships/hyperlink" Target="https://www.cacd.uscourts.gov/honorable-maame-ewusi-mensah-frimpong" TargetMode="External"/><Relationship Id="rId1" Type="http://schemas.openxmlformats.org/officeDocument/2006/relationships/hyperlink" Target="https://www.cacd.uscourts.gov/honorable-maame-ewusi-mensah-frimpong" TargetMode="External"/><Relationship Id="rId5" Type="http://schemas.openxmlformats.org/officeDocument/2006/relationships/hyperlink" Target="http://www.cacd.uscourts.gov/attorneys/admissions/civility-and-professionalism-guidelines" TargetMode="External"/><Relationship Id="rId4" Type="http://schemas.openxmlformats.org/officeDocument/2006/relationships/hyperlink" Target="https://www.cacd.uscourts.gov/honorable-maame-ewusi-mensah-frimpong" TargetMode="Externa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7c54d0-5aec-4792-8ca9-7eb1bb75fd90" xsi:nil="true"/>
    <_x0031_ xmlns="64140af3-bf08-4bc8-96f5-511cb09584b0" xsi:nil="true"/>
    <lcf76f155ced4ddcb4097134ff3c332f xmlns="64140af3-bf08-4bc8-96f5-511cb09584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ED1336B33FF46815E0CF598E05282" ma:contentTypeVersion="13" ma:contentTypeDescription="Create a new document." ma:contentTypeScope="" ma:versionID="039db470fe04d7470d81f69326c2241d">
  <xsd:schema xmlns:xsd="http://www.w3.org/2001/XMLSchema" xmlns:xs="http://www.w3.org/2001/XMLSchema" xmlns:p="http://schemas.microsoft.com/office/2006/metadata/properties" xmlns:ns2="64140af3-bf08-4bc8-96f5-511cb09584b0" xmlns:ns3="e47c54d0-5aec-4792-8ca9-7eb1bb75fd90" targetNamespace="http://schemas.microsoft.com/office/2006/metadata/properties" ma:root="true" ma:fieldsID="f40e99f8a501743df9ef2bc74f8cd490" ns2:_="" ns3:_="">
    <xsd:import namespace="64140af3-bf08-4bc8-96f5-511cb09584b0"/>
    <xsd:import namespace="e47c54d0-5aec-4792-8ca9-7eb1bb75f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031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40af3-bf08-4bc8-96f5-511cb0958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031_" ma:index="18" nillable="true" ma:displayName="1" ma:format="Dropdown" ma:internalName="_x0031_" ma:percentage="FALSE">
      <xsd:simpleType>
        <xsd:restriction base="dms:Number"/>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7c54d0-5aec-4792-8ca9-7eb1bb75f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149ccf6-42da-405c-8f2a-700537daeba8}" ma:internalName="TaxCatchAll" ma:showField="CatchAllData" ma:web="e47c54d0-5aec-4792-8ca9-7eb1bb7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CDD7C-3B9C-4332-B9E2-F15593F84495}">
  <ds:schemaRefs>
    <ds:schemaRef ds:uri="http://schemas.microsoft.com/sharepoint/v3/contenttype/forms"/>
  </ds:schemaRefs>
</ds:datastoreItem>
</file>

<file path=customXml/itemProps2.xml><?xml version="1.0" encoding="utf-8"?>
<ds:datastoreItem xmlns:ds="http://schemas.openxmlformats.org/officeDocument/2006/customXml" ds:itemID="{2E4CE4AB-1980-4A14-A0E4-08EA30C0AF0D}">
  <ds:schemaRefs>
    <ds:schemaRef ds:uri="http://schemas.microsoft.com/office/2006/metadata/properties"/>
    <ds:schemaRef ds:uri="http://schemas.microsoft.com/office/infopath/2007/PartnerControls"/>
    <ds:schemaRef ds:uri="e47c54d0-5aec-4792-8ca9-7eb1bb75fd90"/>
    <ds:schemaRef ds:uri="64140af3-bf08-4bc8-96f5-511cb09584b0"/>
  </ds:schemaRefs>
</ds:datastoreItem>
</file>

<file path=customXml/itemProps3.xml><?xml version="1.0" encoding="utf-8"?>
<ds:datastoreItem xmlns:ds="http://schemas.openxmlformats.org/officeDocument/2006/customXml" ds:itemID="{CB9A37FA-36CE-400A-8FA6-D39AEC193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40af3-bf08-4bc8-96f5-511cb09584b0"/>
    <ds:schemaRef ds:uri="e47c54d0-5aec-4792-8ca9-7eb1bb7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6A86B-3807-44E3-A0C5-8905BD14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6299</Words>
  <Characters>35908</Characters>
  <Application>Microsoft Office Word</Application>
  <DocSecurity>0</DocSecurity>
  <Lines>299</Lines>
  <Paragraphs>84</Paragraphs>
  <ScaleCrop>false</ScaleCrop>
  <Company/>
  <LinksUpToDate>false</LinksUpToDate>
  <CharactersWithSpaces>42123</CharactersWithSpaces>
  <SharedDoc>false</SharedDoc>
  <HLinks>
    <vt:vector size="30" baseType="variant">
      <vt:variant>
        <vt:i4>6160463</vt:i4>
      </vt:variant>
      <vt:variant>
        <vt:i4>12</vt:i4>
      </vt:variant>
      <vt:variant>
        <vt:i4>0</vt:i4>
      </vt:variant>
      <vt:variant>
        <vt:i4>5</vt:i4>
      </vt:variant>
      <vt:variant>
        <vt:lpwstr>http://www.cacd.uscourts.gov/attorneys/admissions/civility-and-professionalism-guidelines</vt:lpwstr>
      </vt:variant>
      <vt:variant>
        <vt:lpwstr/>
      </vt:variant>
      <vt:variant>
        <vt:i4>7536702</vt:i4>
      </vt:variant>
      <vt:variant>
        <vt:i4>9</vt:i4>
      </vt:variant>
      <vt:variant>
        <vt:i4>0</vt:i4>
      </vt:variant>
      <vt:variant>
        <vt:i4>5</vt:i4>
      </vt:variant>
      <vt:variant>
        <vt:lpwstr>https://www.cacd.uscourts.gov/honorable-maame-ewusi-mensah-frimpong</vt:lpwstr>
      </vt:variant>
      <vt:variant>
        <vt:lpwstr/>
      </vt:variant>
      <vt:variant>
        <vt:i4>7536702</vt:i4>
      </vt:variant>
      <vt:variant>
        <vt:i4>6</vt:i4>
      </vt:variant>
      <vt:variant>
        <vt:i4>0</vt:i4>
      </vt:variant>
      <vt:variant>
        <vt:i4>5</vt:i4>
      </vt:variant>
      <vt:variant>
        <vt:lpwstr>https://www.cacd.uscourts.gov/honorable-maame-ewusi-mensah-frimpong</vt:lpwstr>
      </vt:variant>
      <vt:variant>
        <vt:lpwstr/>
      </vt:variant>
      <vt:variant>
        <vt:i4>7536702</vt:i4>
      </vt:variant>
      <vt:variant>
        <vt:i4>3</vt:i4>
      </vt:variant>
      <vt:variant>
        <vt:i4>0</vt:i4>
      </vt:variant>
      <vt:variant>
        <vt:i4>5</vt:i4>
      </vt:variant>
      <vt:variant>
        <vt:lpwstr>https://www.cacd.uscourts.gov/honorable-maame-ewusi-mensah-frimpong</vt:lpwstr>
      </vt:variant>
      <vt:variant>
        <vt:lpwstr/>
      </vt:variant>
      <vt:variant>
        <vt:i4>7536702</vt:i4>
      </vt:variant>
      <vt:variant>
        <vt:i4>0</vt:i4>
      </vt:variant>
      <vt:variant>
        <vt:i4>0</vt:i4>
      </vt:variant>
      <vt:variant>
        <vt:i4>5</vt:i4>
      </vt:variant>
      <vt:variant>
        <vt:lpwstr>https://www.cacd.uscourts.gov/honorable-maame-ewusi-mensah-frimpong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Order Template (9-29-21)</dc:title>
  <dc:subject/>
  <dc:creator/>
  <cp:keywords/>
  <cp:lastModifiedBy/>
  <cp:revision>1</cp:revision>
  <dcterms:created xsi:type="dcterms:W3CDTF">2026-07-01T15:58:00Z</dcterms:created>
  <dcterms:modified xsi:type="dcterms:W3CDTF">2026-07-01T20:46:00Z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0x010100002ED1336B33FF46815E0CF598E05282</vt:lpwstr>
  </property>
  <property fmtid="{D5CDD505-2E9C-101B-9397-08002B2CF9AE}" pid="3" name="MediaServiceImageTags">
    <vt:lpwstr/>
  </property>
</Properties>
</file>